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70" w:rsidRPr="008F3A70" w:rsidRDefault="008F3A70" w:rsidP="008F3A70">
      <w:pPr>
        <w:shd w:val="clear" w:color="auto" w:fill="FFFFFF"/>
        <w:spacing w:after="225" w:line="240" w:lineRule="atLeast"/>
        <w:outlineLvl w:val="0"/>
        <w:rPr>
          <w:rFonts w:ascii="Arial" w:eastAsia="Times New Roman" w:hAnsi="Arial" w:cs="Arial"/>
          <w:color w:val="000000"/>
          <w:kern w:val="36"/>
          <w:sz w:val="27"/>
          <w:szCs w:val="27"/>
        </w:rPr>
      </w:pPr>
      <w:r w:rsidRPr="008F3A70">
        <w:rPr>
          <w:rFonts w:ascii="Arial" w:eastAsia="Times New Roman" w:hAnsi="Arial" w:cs="Arial"/>
          <w:color w:val="000000"/>
          <w:kern w:val="36"/>
          <w:sz w:val="27"/>
          <w:szCs w:val="27"/>
        </w:rPr>
        <w:t>Щодо проведення підсумкового оцінювання та організованого ​завершення 2019-2020 навчального року</w:t>
      </w:r>
    </w:p>
    <w:p w:rsidR="008F3A70" w:rsidRPr="008F3A70" w:rsidRDefault="008F3A70" w:rsidP="008F3A70">
      <w:pPr>
        <w:shd w:val="clear" w:color="auto" w:fill="FFFFFF"/>
        <w:spacing w:after="225" w:line="270" w:lineRule="atLeast"/>
        <w:outlineLvl w:val="2"/>
        <w:rPr>
          <w:rFonts w:ascii="Arial" w:eastAsia="Times New Roman" w:hAnsi="Arial" w:cs="Arial"/>
          <w:b/>
          <w:bCs/>
          <w:i/>
          <w:iCs/>
          <w:color w:val="000000"/>
          <w:sz w:val="21"/>
          <w:szCs w:val="21"/>
        </w:rPr>
      </w:pPr>
      <w:r w:rsidRPr="008F3A70">
        <w:rPr>
          <w:rFonts w:ascii="Arial" w:eastAsia="Times New Roman" w:hAnsi="Arial" w:cs="Arial"/>
          <w:b/>
          <w:bCs/>
          <w:i/>
          <w:iCs/>
          <w:color w:val="000000"/>
          <w:sz w:val="21"/>
          <w:szCs w:val="21"/>
        </w:rPr>
        <w:t>Лист МОН № 1/9-213 від 16.04.20 року</w:t>
      </w:r>
    </w:p>
    <w:p w:rsidR="008F3A70" w:rsidRPr="008F3A70" w:rsidRDefault="008F3A70" w:rsidP="008F3A70">
      <w:pPr>
        <w:numPr>
          <w:ilvl w:val="0"/>
          <w:numId w:val="1"/>
        </w:numPr>
        <w:spacing w:after="0" w:line="240" w:lineRule="auto"/>
        <w:ind w:left="75" w:right="330"/>
        <w:rPr>
          <w:rFonts w:ascii="Arial" w:eastAsia="Times New Roman" w:hAnsi="Arial" w:cs="Arial"/>
          <w:color w:val="000000"/>
          <w:sz w:val="17"/>
          <w:szCs w:val="17"/>
        </w:rPr>
      </w:pPr>
      <w:hyperlink r:id="rId5" w:tooltip="Напечатать" w:history="1">
        <w:r w:rsidRPr="008F3A70">
          <w:rPr>
            <w:rFonts w:ascii="Arial" w:eastAsia="Times New Roman" w:hAnsi="Arial" w:cs="Arial"/>
            <w:color w:val="B4AAAA"/>
            <w:sz w:val="17"/>
          </w:rPr>
          <w:t>Напечатать</w:t>
        </w:r>
      </w:hyperlink>
    </w:p>
    <w:p w:rsidR="008F3A70" w:rsidRPr="008F3A70" w:rsidRDefault="008F3A70" w:rsidP="008F3A70">
      <w:pPr>
        <w:numPr>
          <w:ilvl w:val="0"/>
          <w:numId w:val="1"/>
        </w:numPr>
        <w:spacing w:after="0" w:line="240" w:lineRule="auto"/>
        <w:ind w:left="75" w:right="330"/>
        <w:rPr>
          <w:rFonts w:ascii="Arial" w:eastAsia="Times New Roman" w:hAnsi="Arial" w:cs="Arial"/>
          <w:color w:val="000000"/>
          <w:sz w:val="17"/>
          <w:szCs w:val="17"/>
        </w:rPr>
      </w:pPr>
      <w:hyperlink r:id="rId6" w:tooltip="Спросить" w:history="1">
        <w:r w:rsidRPr="008F3A70">
          <w:rPr>
            <w:rFonts w:ascii="Arial" w:eastAsia="Times New Roman" w:hAnsi="Arial" w:cs="Arial"/>
            <w:color w:val="B4AAAA"/>
            <w:sz w:val="17"/>
          </w:rPr>
          <w:t>Спросить</w:t>
        </w:r>
      </w:hyperlink>
    </w:p>
    <w:p w:rsidR="008F3A70" w:rsidRPr="008F3A70" w:rsidRDefault="008F3A70" w:rsidP="008F3A70">
      <w:pPr>
        <w:numPr>
          <w:ilvl w:val="0"/>
          <w:numId w:val="1"/>
        </w:numPr>
        <w:spacing w:after="0" w:line="240" w:lineRule="auto"/>
        <w:ind w:left="75" w:right="330"/>
        <w:rPr>
          <w:rFonts w:ascii="Arial" w:eastAsia="Times New Roman" w:hAnsi="Arial" w:cs="Arial"/>
          <w:color w:val="000000"/>
          <w:sz w:val="17"/>
          <w:szCs w:val="17"/>
        </w:rPr>
      </w:pPr>
      <w:hyperlink r:id="rId7" w:tooltip="Отправить другу" w:history="1">
        <w:r w:rsidRPr="008F3A70">
          <w:rPr>
            <w:rFonts w:ascii="Arial" w:eastAsia="Times New Roman" w:hAnsi="Arial" w:cs="Arial"/>
            <w:color w:val="B4AAAA"/>
            <w:sz w:val="17"/>
          </w:rPr>
          <w:t>Отправить другу</w:t>
        </w:r>
      </w:hyperlink>
    </w:p>
    <w:p w:rsidR="008F3A70" w:rsidRPr="008F3A70" w:rsidRDefault="008F3A70" w:rsidP="008F3A70">
      <w:pPr>
        <w:numPr>
          <w:ilvl w:val="0"/>
          <w:numId w:val="1"/>
        </w:numPr>
        <w:spacing w:after="0" w:line="240" w:lineRule="auto"/>
        <w:ind w:left="75" w:right="330"/>
        <w:rPr>
          <w:rFonts w:ascii="Arial" w:eastAsia="Times New Roman" w:hAnsi="Arial" w:cs="Arial"/>
          <w:color w:val="000000"/>
          <w:sz w:val="17"/>
          <w:szCs w:val="17"/>
        </w:rPr>
      </w:pPr>
      <w:hyperlink r:id="rId8" w:anchor="soc2" w:tooltip="Поделиться" w:history="1">
        <w:r w:rsidRPr="008F3A70">
          <w:rPr>
            <w:rFonts w:ascii="Arial" w:eastAsia="Times New Roman" w:hAnsi="Arial" w:cs="Arial"/>
            <w:color w:val="B4AAAA"/>
            <w:sz w:val="17"/>
          </w:rPr>
          <w:t>Поделиться</w:t>
        </w:r>
      </w:hyperlink>
    </w:p>
    <w:p w:rsidR="008F3A70" w:rsidRPr="008F3A70" w:rsidRDefault="008F3A70" w:rsidP="008F3A70">
      <w:pPr>
        <w:numPr>
          <w:ilvl w:val="0"/>
          <w:numId w:val="1"/>
        </w:numPr>
        <w:spacing w:after="0" w:line="240" w:lineRule="auto"/>
        <w:ind w:left="75" w:right="330"/>
        <w:rPr>
          <w:rFonts w:ascii="Arial" w:eastAsia="Times New Roman" w:hAnsi="Arial" w:cs="Arial"/>
          <w:color w:val="000000"/>
          <w:sz w:val="17"/>
          <w:szCs w:val="17"/>
        </w:rPr>
      </w:pPr>
      <w:hyperlink r:id="rId9" w:tooltip="Подписаться на новости" w:history="1">
        <w:r w:rsidRPr="008F3A70">
          <w:rPr>
            <w:rFonts w:ascii="Arial" w:eastAsia="Times New Roman" w:hAnsi="Arial" w:cs="Arial"/>
            <w:color w:val="B4AAAA"/>
            <w:sz w:val="17"/>
          </w:rPr>
          <w:t>Подписаться на новости</w:t>
        </w:r>
      </w:hyperlink>
    </w:p>
    <w:p w:rsidR="008F3A70" w:rsidRPr="008F3A70" w:rsidRDefault="008F3A70" w:rsidP="008F3A70">
      <w:pPr>
        <w:shd w:val="clear" w:color="auto" w:fill="FFFFFF"/>
        <w:spacing w:after="210" w:line="240" w:lineRule="auto"/>
        <w:jc w:val="center"/>
        <w:rPr>
          <w:rFonts w:ascii="Arial" w:eastAsia="Times New Roman" w:hAnsi="Arial" w:cs="Arial"/>
          <w:color w:val="000000"/>
          <w:sz w:val="21"/>
          <w:szCs w:val="21"/>
        </w:rPr>
      </w:pPr>
      <w:r w:rsidRPr="008F3A70">
        <w:rPr>
          <w:rFonts w:ascii="Arial" w:eastAsia="Times New Roman" w:hAnsi="Arial" w:cs="Arial"/>
          <w:color w:val="000000"/>
          <w:sz w:val="21"/>
          <w:szCs w:val="21"/>
        </w:rPr>
        <w:t>МІНІСТЕРСТВО ОСВІТИ І НАУКИ УКРАЇНИ</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 1/9-213 від 16 квітня 2020 року</w:t>
      </w:r>
    </w:p>
    <w:p w:rsidR="008F3A70" w:rsidRPr="008F3A70" w:rsidRDefault="008F3A70" w:rsidP="008F3A70">
      <w:pPr>
        <w:shd w:val="clear" w:color="auto" w:fill="FFFFFF"/>
        <w:spacing w:after="0" w:line="240" w:lineRule="auto"/>
        <w:jc w:val="right"/>
        <w:rPr>
          <w:rFonts w:ascii="Arial" w:eastAsia="Times New Roman" w:hAnsi="Arial" w:cs="Arial"/>
          <w:color w:val="000000"/>
          <w:sz w:val="21"/>
          <w:szCs w:val="21"/>
        </w:rPr>
      </w:pPr>
      <w:r w:rsidRPr="008F3A70">
        <w:rPr>
          <w:rFonts w:ascii="Arial" w:eastAsia="Times New Roman" w:hAnsi="Arial" w:cs="Arial"/>
          <w:color w:val="000000"/>
          <w:sz w:val="21"/>
          <w:szCs w:val="21"/>
        </w:rPr>
        <w:t>Керівникам департаментів (управлінь)</w:t>
      </w:r>
      <w:r w:rsidRPr="008F3A70">
        <w:rPr>
          <w:rFonts w:ascii="Arial" w:eastAsia="Times New Roman" w:hAnsi="Arial" w:cs="Arial"/>
          <w:color w:val="000000"/>
          <w:sz w:val="21"/>
          <w:szCs w:val="21"/>
        </w:rPr>
        <w:br/>
        <w:t>освіти і науки обласних, Київської</w:t>
      </w:r>
      <w:r w:rsidRPr="008F3A70">
        <w:rPr>
          <w:rFonts w:ascii="Arial" w:eastAsia="Times New Roman" w:hAnsi="Arial" w:cs="Arial"/>
          <w:color w:val="000000"/>
          <w:sz w:val="21"/>
          <w:szCs w:val="21"/>
        </w:rPr>
        <w:br/>
        <w:t>міської державних адміністрацій</w:t>
      </w:r>
    </w:p>
    <w:p w:rsidR="008F3A70" w:rsidRPr="008F3A70" w:rsidRDefault="008F3A70" w:rsidP="008F3A70">
      <w:pPr>
        <w:shd w:val="clear" w:color="auto" w:fill="FFFFFF"/>
        <w:spacing w:after="210" w:line="240" w:lineRule="auto"/>
        <w:jc w:val="right"/>
        <w:rPr>
          <w:rFonts w:ascii="Arial" w:eastAsia="Times New Roman" w:hAnsi="Arial" w:cs="Arial"/>
          <w:color w:val="000000"/>
          <w:sz w:val="21"/>
          <w:szCs w:val="21"/>
        </w:rPr>
      </w:pPr>
      <w:r w:rsidRPr="008F3A70">
        <w:rPr>
          <w:rFonts w:ascii="Arial" w:eastAsia="Times New Roman" w:hAnsi="Arial" w:cs="Arial"/>
          <w:color w:val="000000"/>
          <w:sz w:val="21"/>
          <w:szCs w:val="21"/>
        </w:rPr>
        <w:t>Керівникам закладів загальної середньої освіти</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Щодо проведення підсумкового</w:t>
      </w:r>
      <w:r w:rsidRPr="008F3A70">
        <w:rPr>
          <w:rFonts w:ascii="Arial" w:eastAsia="Times New Roman" w:hAnsi="Arial" w:cs="Arial"/>
          <w:b/>
          <w:bCs/>
          <w:color w:val="000000"/>
          <w:sz w:val="21"/>
          <w:szCs w:val="21"/>
          <w:bdr w:val="none" w:sz="0" w:space="0" w:color="auto" w:frame="1"/>
        </w:rPr>
        <w:br/>
      </w:r>
      <w:r w:rsidRPr="008F3A70">
        <w:rPr>
          <w:rFonts w:ascii="Arial" w:eastAsia="Times New Roman" w:hAnsi="Arial" w:cs="Arial"/>
          <w:b/>
          <w:bCs/>
          <w:color w:val="000000"/>
          <w:sz w:val="21"/>
        </w:rPr>
        <w:t>оцінювання та організованого</w:t>
      </w:r>
      <w:r w:rsidRPr="008F3A70">
        <w:rPr>
          <w:rFonts w:ascii="Arial" w:eastAsia="Times New Roman" w:hAnsi="Arial" w:cs="Arial"/>
          <w:b/>
          <w:bCs/>
          <w:color w:val="000000"/>
          <w:sz w:val="21"/>
          <w:szCs w:val="21"/>
          <w:bdr w:val="none" w:sz="0" w:space="0" w:color="auto" w:frame="1"/>
        </w:rPr>
        <w:br/>
      </w:r>
      <w:r w:rsidRPr="008F3A70">
        <w:rPr>
          <w:rFonts w:ascii="Arial" w:eastAsia="Times New Roman" w:hAnsi="Arial" w:cs="Arial"/>
          <w:b/>
          <w:bCs/>
          <w:color w:val="000000"/>
          <w:sz w:val="21"/>
        </w:rPr>
        <w:t>завершення 2019-2020 навчального року</w:t>
      </w:r>
    </w:p>
    <w:p w:rsidR="008F3A70" w:rsidRPr="008F3A70" w:rsidRDefault="008F3A70" w:rsidP="008F3A70">
      <w:pPr>
        <w:shd w:val="clear" w:color="auto" w:fill="FFFFFF"/>
        <w:spacing w:after="210" w:line="240" w:lineRule="auto"/>
        <w:jc w:val="center"/>
        <w:rPr>
          <w:rFonts w:ascii="Arial" w:eastAsia="Times New Roman" w:hAnsi="Arial" w:cs="Arial"/>
          <w:color w:val="000000"/>
          <w:sz w:val="21"/>
          <w:szCs w:val="21"/>
        </w:rPr>
      </w:pPr>
      <w:r w:rsidRPr="008F3A70">
        <w:rPr>
          <w:rFonts w:ascii="Arial" w:eastAsia="Times New Roman" w:hAnsi="Arial" w:cs="Arial"/>
          <w:color w:val="000000"/>
          <w:sz w:val="21"/>
          <w:szCs w:val="21"/>
        </w:rPr>
        <w:t>Шановні колеги!</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 зв'язку з епідеміологічною ситуацією, що склалася в Україні, з метою запобігання поширенню коронавірусної хвороби (СОVID-19)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Щодо здійснення заходів, спрямованих на організоване завершення навчального року</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 межах академічної автономії, відповідно до частин третьої та четвертої статті 10 Закону України «</w:t>
      </w:r>
      <w:hyperlink r:id="rId10" w:history="1">
        <w:r w:rsidRPr="008F3A70">
          <w:rPr>
            <w:rFonts w:ascii="Arial" w:eastAsia="Times New Roman" w:hAnsi="Arial" w:cs="Arial"/>
            <w:color w:val="8C8282"/>
            <w:sz w:val="21"/>
          </w:rPr>
          <w:t>Про повну загальну середню освіту</w:t>
        </w:r>
      </w:hyperlink>
      <w:r w:rsidRPr="008F3A70">
        <w:rPr>
          <w:rFonts w:ascii="Arial" w:eastAsia="Times New Roman" w:hAnsi="Arial" w:cs="Arial"/>
          <w:color w:val="000000"/>
          <w:sz w:val="21"/>
          <w:szCs w:val="21"/>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здоров'язбереження, запобігаючи емоційному, ментальному та фізичному перевантаженню учнів;</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забезпечити всім учням доступ до навчальних матеріалів та завдань шляхом використання різних засобів обміну інформацією;</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організувати проведення окремих дистанційних консультацій для учнів, які хворіють або перебувають у режимі самоізоляції;</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мінімізувати кількість звітної документації з питань організації дистанційного навчання учнів, яку мають подавати вчителі;</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 xml:space="preserve">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попередній рік та </w:t>
      </w:r>
      <w:r w:rsidRPr="008F3A70">
        <w:rPr>
          <w:rFonts w:ascii="Arial" w:eastAsia="Times New Roman" w:hAnsi="Arial" w:cs="Arial"/>
          <w:color w:val="000000"/>
          <w:sz w:val="21"/>
          <w:szCs w:val="21"/>
        </w:rPr>
        <w:lastRenderedPageBreak/>
        <w:t>планування подальшої роботи із систематизації, узагальнення та закріплення навчального матеріалу, що вивчався учнями дистанційно;</w:t>
      </w:r>
    </w:p>
    <w:p w:rsidR="008F3A70" w:rsidRPr="008F3A70" w:rsidRDefault="008F3A70" w:rsidP="008F3A70">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 метою запобігання поширенню коронавірусної хвороби (СОVID-19)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Привертаємо увагу до того, що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Керівникам закладів загальної середньої освіти рекомендуємо розробити і затвердити графіки видачі випускникам 9-х класів свідоцтв про здобуття базової середньої освіти з урахуванням необхідності дотримання протиепідеміологічних вимог.</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Щодо організації оцінювання в умовах дистанційного навчання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Оцінювання є невід'ємною частиною процесу навчання, дистанційне навчання не є винятком.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Оцінювання результатів навчальної діяльності може здійснюватись у синхронному або асинхронному режимі.</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Синхронний режим дозволяє забезпечити більш об'єктивне оцінювання, проте вимагає відповідного технічного забезпечення у вчителя та всіх учнів.</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 синхронному режимі учні можуть:</w:t>
      </w:r>
    </w:p>
    <w:p w:rsidR="008F3A70" w:rsidRPr="008F3A70" w:rsidRDefault="008F3A70" w:rsidP="008F3A70">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виконувати тести на платформах Googleclassroom, Naurok, Moodle тощо за вибором вчителя та з урахуванням можливостей учня;</w:t>
      </w:r>
    </w:p>
    <w:p w:rsidR="008F3A70" w:rsidRPr="008F3A70" w:rsidRDefault="008F3A70" w:rsidP="008F3A70">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виконувати письмові роботи, у тому числі диктанти, із використанням відеоінструментів Skype, Zoom тощо;</w:t>
      </w:r>
    </w:p>
    <w:p w:rsidR="008F3A70" w:rsidRPr="008F3A70" w:rsidRDefault="008F3A70" w:rsidP="008F3A70">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брати участь в усних формах контролю (усний переказ, читання напам'ять вірша та прозових текстів, презентація та захист проєктів тощо) із використанням відеоінструментів Skype, Zoom індивідуально або в групах;</w:t>
      </w:r>
    </w:p>
    <w:p w:rsidR="008F3A70" w:rsidRPr="008F3A70" w:rsidRDefault="008F3A70" w:rsidP="008F3A70">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p>
    <w:p w:rsidR="008F3A70" w:rsidRPr="008F3A70" w:rsidRDefault="008F3A70" w:rsidP="008F3A70">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виконувати інші завдання, які пропонує вчитель.</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lastRenderedPageBreak/>
        <w:t>В асинхронному режимі учні можуть:</w:t>
      </w:r>
    </w:p>
    <w:p w:rsidR="008F3A70" w:rsidRPr="008F3A70" w:rsidRDefault="008F3A70" w:rsidP="008F3A70">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виконувати завдання на одній з платформ (Googleclassroom, Naurok, Moodle та ін. за вибором вчителя);</w:t>
      </w:r>
    </w:p>
    <w:p w:rsidR="008F3A70" w:rsidRPr="008F3A70" w:rsidRDefault="008F3A70" w:rsidP="008F3A70">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 тощо) або іншими засобами поштового зв'язку (за відсутністю технічних засобів навчання або доступу до мережі Інтернет);</w:t>
      </w:r>
    </w:p>
    <w:p w:rsidR="008F3A70" w:rsidRPr="008F3A70" w:rsidRDefault="008F3A70" w:rsidP="008F3A70">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писати диктанти з використанням аудіо або відеозаписів, створених та надісланих вчителем;</w:t>
      </w:r>
    </w:p>
    <w:p w:rsidR="008F3A70" w:rsidRPr="008F3A70" w:rsidRDefault="008F3A70" w:rsidP="008F3A70">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знімати на відео або записувати аудіо усних відповідей та надсилати файли вчителю засобами електронного зв'язку;</w:t>
      </w:r>
    </w:p>
    <w:p w:rsidR="008F3A70" w:rsidRPr="008F3A70" w:rsidRDefault="008F3A70" w:rsidP="008F3A70">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виконувати інші завдання, запропоновані учителем.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Поточне та формувальне оцінювання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проєкти,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Якщо вчитель застосовує одну з платформ для дистанційного навчання (Googleclassroom, Naurok, Moodle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самооцінювання успішності оволодіння навчальним матеріалом.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Googleclassroom, Moodle та інші, один із месенжерів (Viber, Facebook, WhatsApp тощо).</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аудіо файли, надіслані учнями на пошту вчителя.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Учитель може організувати самооцінювання учнями успішності своєї роботи, надіславши їм ключі для самоперевірки (після виконання роботи), критерії оцінювання та самооцінювання творчих робіт тощо.</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Підсумкове оцінювання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lastRenderedPageBreak/>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екстернатної, педагогічного патронажу).</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Рекомендовано попередньо надіслати учням графік проведення всіх видів оцінювання, у якому буде зазначатися:</w:t>
      </w:r>
    </w:p>
    <w:p w:rsidR="008F3A70" w:rsidRPr="008F3A70" w:rsidRDefault="008F3A70" w:rsidP="008F3A70">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форма та вид оцінювання з кожного навчального предмета;</w:t>
      </w:r>
    </w:p>
    <w:p w:rsidR="008F3A70" w:rsidRPr="008F3A70" w:rsidRDefault="008F3A70" w:rsidP="008F3A70">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необхідні для цього ресурси;</w:t>
      </w:r>
    </w:p>
    <w:p w:rsidR="008F3A70" w:rsidRPr="008F3A70" w:rsidRDefault="008F3A70" w:rsidP="008F3A70">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дата та тривалість проведення оцінювання (для синхронного режиму);</w:t>
      </w:r>
    </w:p>
    <w:p w:rsidR="008F3A70" w:rsidRPr="008F3A70" w:rsidRDefault="008F3A70" w:rsidP="008F3A70">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дата та час розміщення завдань, кінцевий термін та спосіб їх подання (для асинхронного режиму).</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Річне оцінювання виставляється з урахуванням результатів оцінювання за перший та другий семестри навчального року.</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 Слід зазначити, що відповідно до статті 17 Закону України «</w:t>
      </w:r>
      <w:hyperlink r:id="rId11" w:history="1">
        <w:r w:rsidRPr="008F3A70">
          <w:rPr>
            <w:rFonts w:ascii="Arial" w:eastAsia="Times New Roman" w:hAnsi="Arial" w:cs="Arial"/>
            <w:color w:val="8C8282"/>
            <w:sz w:val="21"/>
          </w:rPr>
          <w:t>Про повну загальну середню освіту</w:t>
        </w:r>
      </w:hyperlink>
      <w:r w:rsidRPr="008F3A70">
        <w:rPr>
          <w:rFonts w:ascii="Arial" w:eastAsia="Times New Roman" w:hAnsi="Arial" w:cs="Arial"/>
          <w:color w:val="000000"/>
          <w:sz w:val="21"/>
          <w:szCs w:val="21"/>
        </w:rPr>
        <w:t>»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Оцінювання учнів 1-2 класів та 3-х пілотних класів НУШ</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lastRenderedPageBreak/>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(Googleclassroom, Naurok, Moodle та ін. за вибором вчителя).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Форми щоденників спостережень, орієнтовні шкали для самооцінювання, бланки свідоцтв досягнень надано у таких документах:</w:t>
      </w:r>
    </w:p>
    <w:p w:rsidR="008F3A70" w:rsidRPr="008F3A70" w:rsidRDefault="008F3A70" w:rsidP="008F3A70">
      <w:pPr>
        <w:numPr>
          <w:ilvl w:val="0"/>
          <w:numId w:val="6"/>
        </w:numPr>
        <w:shd w:val="clear" w:color="auto" w:fill="FFFFFF"/>
        <w:spacing w:after="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наказ МОН від 20 серпня 2018 року </w:t>
      </w:r>
      <w:hyperlink r:id="rId12" w:history="1">
        <w:r w:rsidRPr="008F3A70">
          <w:rPr>
            <w:rFonts w:ascii="Arial" w:eastAsia="Times New Roman" w:hAnsi="Arial" w:cs="Arial"/>
            <w:color w:val="8C8282"/>
            <w:sz w:val="21"/>
          </w:rPr>
          <w:t>№ 924</w:t>
        </w:r>
      </w:hyperlink>
      <w:r w:rsidRPr="008F3A70">
        <w:rPr>
          <w:rFonts w:ascii="Arial" w:eastAsia="Times New Roman" w:hAnsi="Arial" w:cs="Arial"/>
          <w:color w:val="000000"/>
          <w:sz w:val="21"/>
          <w:szCs w:val="21"/>
        </w:rPr>
        <w:t> «Про затвердження методичних рекомендацій щодо оцінювання навчальних досягнень учнів першого класу у Новій українській школі»;</w:t>
      </w:r>
    </w:p>
    <w:p w:rsidR="008F3A70" w:rsidRPr="008F3A70" w:rsidRDefault="008F3A70" w:rsidP="008F3A70">
      <w:pPr>
        <w:numPr>
          <w:ilvl w:val="0"/>
          <w:numId w:val="6"/>
        </w:numPr>
        <w:shd w:val="clear" w:color="auto" w:fill="FFFFFF"/>
        <w:spacing w:after="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наказ МОН від 27 серпня 2019 року </w:t>
      </w:r>
      <w:hyperlink r:id="rId13" w:history="1">
        <w:r w:rsidRPr="008F3A70">
          <w:rPr>
            <w:rFonts w:ascii="Arial" w:eastAsia="Times New Roman" w:hAnsi="Arial" w:cs="Arial"/>
            <w:color w:val="8C8282"/>
            <w:sz w:val="21"/>
          </w:rPr>
          <w:t>№ 1154</w:t>
        </w:r>
      </w:hyperlink>
      <w:r w:rsidRPr="008F3A70">
        <w:rPr>
          <w:rFonts w:ascii="Arial" w:eastAsia="Times New Roman" w:hAnsi="Arial" w:cs="Arial"/>
          <w:color w:val="000000"/>
          <w:sz w:val="21"/>
          <w:szCs w:val="21"/>
        </w:rPr>
        <w:t> «Про затвердження методичних рекомендацій щодо оцінювання навчальних досягнень учнів другого класу»;</w:t>
      </w:r>
    </w:p>
    <w:p w:rsidR="008F3A70" w:rsidRPr="008F3A70" w:rsidRDefault="008F3A70" w:rsidP="008F3A70">
      <w:pPr>
        <w:numPr>
          <w:ilvl w:val="0"/>
          <w:numId w:val="6"/>
        </w:numPr>
        <w:shd w:val="clear" w:color="auto" w:fill="FFFFFF"/>
        <w:spacing w:after="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лист МОН від 14 серпня 2019 року </w:t>
      </w:r>
      <w:hyperlink r:id="rId14" w:history="1">
        <w:r w:rsidRPr="008F3A70">
          <w:rPr>
            <w:rFonts w:ascii="Arial" w:eastAsia="Times New Roman" w:hAnsi="Arial" w:cs="Arial"/>
            <w:color w:val="8C8282"/>
            <w:sz w:val="21"/>
          </w:rPr>
          <w:t>№ 1/9-513</w:t>
        </w:r>
      </w:hyperlink>
      <w:r w:rsidRPr="008F3A70">
        <w:rPr>
          <w:rFonts w:ascii="Arial" w:eastAsia="Times New Roman" w:hAnsi="Arial" w:cs="Arial"/>
          <w:color w:val="000000"/>
          <w:sz w:val="21"/>
          <w:szCs w:val="21"/>
        </w:rPr>
        <w:t> «Щодо методичних б рекомендацій для 3-х класів експериментальних закладів загальної середньої освіти».</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Підсумкове оцінювання учнів, які здобувають освіту за індивідуальною формою</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 xml:space="preserve">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w:t>
      </w:r>
      <w:r w:rsidRPr="008F3A70">
        <w:rPr>
          <w:rFonts w:ascii="Arial" w:eastAsia="Times New Roman" w:hAnsi="Arial" w:cs="Arial"/>
          <w:color w:val="000000"/>
          <w:sz w:val="21"/>
          <w:szCs w:val="21"/>
        </w:rPr>
        <w:lastRenderedPageBreak/>
        <w:t>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В умовах карантину, коли учні не можуть відвідувати заклади освіти, а також через закриття пунктів пропуску на адмінкордоні та лінії зіткнення, й річне оцінювання та ДПА (в закладі освіти) може проводитися з використанням технологій дистанційного навчання.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b/>
          <w:bCs/>
          <w:color w:val="000000"/>
          <w:sz w:val="21"/>
        </w:rPr>
        <w:t>Щодо зарахування учнів до 5-х класів закладів загальної середньої освіти</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Згідно зі статтею 9 Закону України «</w:t>
      </w:r>
      <w:hyperlink r:id="rId15" w:history="1">
        <w:r w:rsidRPr="008F3A70">
          <w:rPr>
            <w:rFonts w:ascii="Arial" w:eastAsia="Times New Roman" w:hAnsi="Arial" w:cs="Arial"/>
            <w:color w:val="8C8282"/>
            <w:sz w:val="21"/>
          </w:rPr>
          <w:t>Про повну загальну середню освіту</w:t>
        </w:r>
      </w:hyperlink>
      <w:r w:rsidRPr="008F3A70">
        <w:rPr>
          <w:rFonts w:ascii="Arial" w:eastAsia="Times New Roman" w:hAnsi="Arial" w:cs="Arial"/>
          <w:color w:val="000000"/>
          <w:sz w:val="21"/>
          <w:szCs w:val="21"/>
        </w:rPr>
        <w:t>»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w:t>
      </w:r>
      <w:hyperlink r:id="rId16" w:history="1">
        <w:r w:rsidRPr="008F3A70">
          <w:rPr>
            <w:rFonts w:ascii="Arial" w:eastAsia="Times New Roman" w:hAnsi="Arial" w:cs="Arial"/>
            <w:color w:val="8C8282"/>
            <w:sz w:val="21"/>
          </w:rPr>
          <w:t>№ 367</w:t>
        </w:r>
      </w:hyperlink>
      <w:r w:rsidRPr="008F3A70">
        <w:rPr>
          <w:rFonts w:ascii="Arial" w:eastAsia="Times New Roman" w:hAnsi="Arial" w:cs="Arial"/>
          <w:color w:val="000000"/>
          <w:sz w:val="21"/>
          <w:szCs w:val="21"/>
        </w:rPr>
        <w:t>, зареєстрованим в Міністерстві юстиції України 05 травня 2018 року за № 564/32016.</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Привертаємо увагу до норм глави 3 та пунктів 2-16 глави 4 розділу ІІ Порядку зарахування, що передбачають дві моделі зарахування до 5 класу:</w:t>
      </w:r>
    </w:p>
    <w:p w:rsidR="008F3A70" w:rsidRPr="008F3A70" w:rsidRDefault="008F3A70" w:rsidP="008F3A70">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якщо заклад загальної середньої освіти забезпечує здобуття початкової освіти, то конкурсний відбір можливий на вільні місця лише у разі створення додаткового 5 класу;</w:t>
      </w:r>
    </w:p>
    <w:p w:rsidR="008F3A70" w:rsidRPr="008F3A70" w:rsidRDefault="008F3A70" w:rsidP="008F3A70">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8F3A70">
        <w:rPr>
          <w:rFonts w:ascii="Arial" w:eastAsia="Times New Roman" w:hAnsi="Arial" w:cs="Arial"/>
          <w:color w:val="000000"/>
          <w:sz w:val="21"/>
          <w:szCs w:val="21"/>
        </w:rPr>
        <w:t>якщо заклад загальної середньої освіти не забезпечує здобуття початкової освіти, то конкурсний відбір організовується та проводиться відповідно до пунктів 2-16 глави 4 розділу ІІ Порядку зарахування.</w:t>
      </w:r>
    </w:p>
    <w:p w:rsidR="008F3A70" w:rsidRPr="008F3A70" w:rsidRDefault="008F3A70" w:rsidP="008F3A70">
      <w:pPr>
        <w:shd w:val="clear" w:color="auto" w:fill="FFFFFF"/>
        <w:spacing w:after="21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w:t>
      </w:r>
      <w:hyperlink r:id="rId17" w:history="1">
        <w:r w:rsidRPr="008F3A70">
          <w:rPr>
            <w:rFonts w:ascii="Arial" w:eastAsia="Times New Roman" w:hAnsi="Arial" w:cs="Arial"/>
            <w:color w:val="8C8282"/>
            <w:sz w:val="21"/>
          </w:rPr>
          <w:t>№ 1/9-182.</w:t>
        </w:r>
      </w:hyperlink>
    </w:p>
    <w:p w:rsidR="008F3A70" w:rsidRPr="008F3A70" w:rsidRDefault="008F3A70" w:rsidP="008F3A70">
      <w:pPr>
        <w:shd w:val="clear" w:color="auto" w:fill="FFFFFF"/>
        <w:spacing w:after="0" w:line="240" w:lineRule="auto"/>
        <w:jc w:val="both"/>
        <w:rPr>
          <w:rFonts w:ascii="Arial" w:eastAsia="Times New Roman" w:hAnsi="Arial" w:cs="Arial"/>
          <w:color w:val="000000"/>
          <w:sz w:val="21"/>
          <w:szCs w:val="21"/>
        </w:rPr>
      </w:pPr>
      <w:r w:rsidRPr="008F3A70">
        <w:rPr>
          <w:rFonts w:ascii="Arial" w:eastAsia="Times New Roman" w:hAnsi="Arial" w:cs="Arial"/>
          <w:color w:val="000000"/>
          <w:sz w:val="21"/>
          <w:szCs w:val="21"/>
        </w:rPr>
        <w:t>З повагою</w:t>
      </w:r>
      <w:r w:rsidRPr="008F3A70">
        <w:rPr>
          <w:rFonts w:ascii="Arial" w:eastAsia="Times New Roman" w:hAnsi="Arial" w:cs="Arial"/>
          <w:color w:val="000000"/>
          <w:sz w:val="21"/>
          <w:szCs w:val="21"/>
        </w:rPr>
        <w:br/>
        <w:t>Т. в. о. Міністра                           Любомира Мандзій</w:t>
      </w:r>
    </w:p>
    <w:p w:rsidR="00FC5AB0" w:rsidRDefault="00FC5AB0"/>
    <w:sectPr w:rsidR="00FC5A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0BBC"/>
    <w:multiLevelType w:val="multilevel"/>
    <w:tmpl w:val="A58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5823"/>
    <w:multiLevelType w:val="multilevel"/>
    <w:tmpl w:val="F62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E72C9"/>
    <w:multiLevelType w:val="multilevel"/>
    <w:tmpl w:val="D57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359D2"/>
    <w:multiLevelType w:val="multilevel"/>
    <w:tmpl w:val="4DC2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37FF7"/>
    <w:multiLevelType w:val="multilevel"/>
    <w:tmpl w:val="D25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71F79"/>
    <w:multiLevelType w:val="multilevel"/>
    <w:tmpl w:val="596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01E49"/>
    <w:multiLevelType w:val="multilevel"/>
    <w:tmpl w:val="38B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F3A70"/>
    <w:rsid w:val="008F3A70"/>
    <w:rsid w:val="00FC5A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F3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A7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F3A70"/>
    <w:rPr>
      <w:rFonts w:ascii="Times New Roman" w:eastAsia="Times New Roman" w:hAnsi="Times New Roman" w:cs="Times New Roman"/>
      <w:b/>
      <w:bCs/>
      <w:sz w:val="27"/>
      <w:szCs w:val="27"/>
    </w:rPr>
  </w:style>
  <w:style w:type="character" w:styleId="a3">
    <w:name w:val="Hyperlink"/>
    <w:basedOn w:val="a0"/>
    <w:uiPriority w:val="99"/>
    <w:semiHidden/>
    <w:unhideWhenUsed/>
    <w:rsid w:val="008F3A70"/>
    <w:rPr>
      <w:color w:val="0000FF"/>
      <w:u w:val="single"/>
    </w:rPr>
  </w:style>
  <w:style w:type="paragraph" w:styleId="a4">
    <w:name w:val="Normal (Web)"/>
    <w:basedOn w:val="a"/>
    <w:uiPriority w:val="99"/>
    <w:semiHidden/>
    <w:unhideWhenUsed/>
    <w:rsid w:val="008F3A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3A70"/>
    <w:rPr>
      <w:b/>
      <w:bCs/>
    </w:rPr>
  </w:style>
</w:styles>
</file>

<file path=word/webSettings.xml><?xml version="1.0" encoding="utf-8"?>
<w:webSettings xmlns:r="http://schemas.openxmlformats.org/officeDocument/2006/relationships" xmlns:w="http://schemas.openxmlformats.org/wordprocessingml/2006/main">
  <w:divs>
    <w:div w:id="16378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osvita.ua/legislation/Ser_osv/72975/" TargetMode="External"/><Relationship Id="rId13" Type="http://schemas.openxmlformats.org/officeDocument/2006/relationships/hyperlink" Target="https://osvita.ua/legislation/Ser_osv/654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osvita.ua/legislation/Ser_osv/72975/" TargetMode="External"/><Relationship Id="rId12" Type="http://schemas.openxmlformats.org/officeDocument/2006/relationships/hyperlink" Target="https://osvita.ua/legislation/Ser_osv/61761/" TargetMode="External"/><Relationship Id="rId17" Type="http://schemas.openxmlformats.org/officeDocument/2006/relationships/hyperlink" Target="https://osvita.ua/legislation/Ser_osv/72580/" TargetMode="External"/><Relationship Id="rId2" Type="http://schemas.openxmlformats.org/officeDocument/2006/relationships/styles" Target="styles.xml"/><Relationship Id="rId16" Type="http://schemas.openxmlformats.org/officeDocument/2006/relationships/hyperlink" Target="https://osvita.ua/legislation/Ser_osv/60708/" TargetMode="External"/><Relationship Id="rId1" Type="http://schemas.openxmlformats.org/officeDocument/2006/relationships/numbering" Target="numbering.xml"/><Relationship Id="rId6" Type="http://schemas.openxmlformats.org/officeDocument/2006/relationships/hyperlink" Target="https://forum.osvita.ua/" TargetMode="External"/><Relationship Id="rId11" Type="http://schemas.openxmlformats.org/officeDocument/2006/relationships/hyperlink" Target="https://osvita.ua/legislation/law/2232/" TargetMode="External"/><Relationship Id="rId5" Type="http://schemas.openxmlformats.org/officeDocument/2006/relationships/hyperlink" Target="https://ru.osvita.ua/legislation/Ser_osv/72975/print/" TargetMode="External"/><Relationship Id="rId15" Type="http://schemas.openxmlformats.org/officeDocument/2006/relationships/hyperlink" Target="https://osvita.ua/legislation/law/2232/" TargetMode="External"/><Relationship Id="rId10" Type="http://schemas.openxmlformats.org/officeDocument/2006/relationships/hyperlink" Target="https://osvita.ua/legislation/law/22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svita.ua/subscribe.html" TargetMode="External"/><Relationship Id="rId14" Type="http://schemas.openxmlformats.org/officeDocument/2006/relationships/hyperlink" Target="https://osvita.ua/legislation/Ser_osv/65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13952</Words>
  <Characters>7953</Characters>
  <Application>Microsoft Office Word</Application>
  <DocSecurity>0</DocSecurity>
  <Lines>66</Lines>
  <Paragraphs>43</Paragraphs>
  <ScaleCrop>false</ScaleCrop>
  <Company>SPecialiST RePack</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2020-04-24T10:27:00Z</dcterms:created>
  <dcterms:modified xsi:type="dcterms:W3CDTF">2020-04-24T10:27:00Z</dcterms:modified>
</cp:coreProperties>
</file>