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8" w:rsidRDefault="001E78B3" w:rsidP="001E7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Ільницький ЗЗСО І-</w:t>
      </w:r>
      <w:proofErr w:type="spellStart"/>
      <w:r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8B3" w:rsidRDefault="001E78B3" w:rsidP="001E7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8B3" w:rsidRDefault="001E78B3" w:rsidP="001E7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04.01.2023р.                                                                                            №7</w:t>
      </w: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ефективності функціонування внутрішньої</w:t>
      </w: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системи забезпечення якості освіти в школі</w:t>
      </w: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2022 – 2023 навчальному році.</w:t>
      </w: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42 Закону України «Про повну загально середню освіту», п.8 положення, затверджено постановою кабінету міністру України від 16.10.2014р. №630, наказом МОН України від 30.10.2020р. №1480 «Про затвердження Методичних рекомендацій з питань формування внутрішньої системи забезпечення якості освіти у ЗЗСО», «Положення про внутрішню систему забезпечення якості освіти у школі», з метою забезпечення формування внутрішньої системи забезпечення якості освіти в школі</w:t>
      </w: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612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6127B2" w:rsidRDefault="006127B2" w:rsidP="00612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61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у 2022 –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комплексне вивчення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ефективності функціонування внутрішньої системи якості освіти за чотирма напрямами освітньої діяльності школи (освітнє середовище, система оцінювання здобувачів освіти, педагогічна діяльність педагогічних працівників, управлінські процеси школи).</w:t>
      </w:r>
    </w:p>
    <w:p w:rsidR="006127B2" w:rsidRDefault="006127B2" w:rsidP="0061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Створити динамічні групи у складі педагогічних працівників здобувачів освіти та батьків здобувачів освіти для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ефективності функціонування внутрішньої системи забезпечення якості освіти до 10.01.2023р. (додаток 1).</w:t>
      </w:r>
    </w:p>
    <w:p w:rsidR="006127B2" w:rsidRDefault="00087BD9" w:rsidP="0061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Організувати роботу ди</w:t>
      </w:r>
      <w:r w:rsidR="006127B2">
        <w:rPr>
          <w:rFonts w:ascii="Times New Roman" w:hAnsi="Times New Roman" w:cs="Times New Roman"/>
          <w:sz w:val="28"/>
          <w:szCs w:val="28"/>
        </w:rPr>
        <w:t>намічних груп згідно плану роботи (додаток 2).</w:t>
      </w:r>
    </w:p>
    <w:p w:rsidR="006127B2" w:rsidRDefault="006127B2" w:rsidP="0061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7BD9">
        <w:rPr>
          <w:rFonts w:ascii="Times New Roman" w:hAnsi="Times New Roman" w:cs="Times New Roman"/>
          <w:sz w:val="28"/>
          <w:szCs w:val="28"/>
        </w:rPr>
        <w:t>Узагальнити результати роботи ди</w:t>
      </w:r>
      <w:r>
        <w:rPr>
          <w:rFonts w:ascii="Times New Roman" w:hAnsi="Times New Roman" w:cs="Times New Roman"/>
          <w:sz w:val="28"/>
          <w:szCs w:val="28"/>
        </w:rPr>
        <w:t>намічних груп у формі описових та кількісних показників та укласти звіт з подальшим обговоренням до 10.06.2023р.</w:t>
      </w:r>
    </w:p>
    <w:p w:rsidR="00893423" w:rsidRDefault="00893423" w:rsidP="00612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Затвердити положення про внутрішню систему забезпечення якості освіти школи.</w:t>
      </w:r>
    </w:p>
    <w:p w:rsidR="006127B2" w:rsidRDefault="00893423" w:rsidP="001E7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127B2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ЗЗСО: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І.Є./</w:t>
      </w: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ознайомлений: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М.Я./</w:t>
      </w: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DB7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5B376C" w:rsidRDefault="00087BD9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5B376C">
        <w:rPr>
          <w:rFonts w:ascii="Times New Roman" w:hAnsi="Times New Roman" w:cs="Times New Roman"/>
          <w:sz w:val="28"/>
          <w:szCs w:val="28"/>
        </w:rPr>
        <w:t xml:space="preserve">намічні групи у складі педагогічних працівників, учнів та батьків для проведення </w:t>
      </w:r>
      <w:proofErr w:type="spellStart"/>
      <w:r w:rsidR="005B376C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5B376C">
        <w:rPr>
          <w:rFonts w:ascii="Times New Roman" w:hAnsi="Times New Roman" w:cs="Times New Roman"/>
          <w:sz w:val="28"/>
          <w:szCs w:val="28"/>
        </w:rPr>
        <w:t xml:space="preserve"> закладу освіти</w:t>
      </w: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60"/>
        <w:gridCol w:w="1970"/>
        <w:gridCol w:w="2014"/>
        <w:gridCol w:w="1970"/>
      </w:tblGrid>
      <w:tr w:rsidR="005B376C" w:rsidTr="005B376C">
        <w:trPr>
          <w:trHeight w:val="380"/>
        </w:trPr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група 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група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група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група</w:t>
            </w:r>
          </w:p>
        </w:tc>
      </w:tr>
      <w:tr w:rsidR="005B376C" w:rsidTr="005B376C">
        <w:trPr>
          <w:trHeight w:val="1560"/>
        </w:trPr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Освітнє середовище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оцінювання результатів навчання учнів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Педагогічна діяльність педагогічних працівників школи</w:t>
            </w:r>
          </w:p>
        </w:tc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Управлінські процеси школи</w:t>
            </w:r>
          </w:p>
        </w:tc>
      </w:tr>
      <w:tr w:rsidR="005B376C" w:rsidTr="005B376C">
        <w:trPr>
          <w:trHeight w:val="250"/>
        </w:trPr>
        <w:tc>
          <w:tcPr>
            <w:tcW w:w="1971" w:type="dxa"/>
          </w:tcPr>
          <w:p w:rsidR="005B376C" w:rsidRDefault="005B376C" w:rsidP="005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М.І.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Блажівський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Андрущакевич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І.Є.</w:t>
            </w:r>
          </w:p>
        </w:tc>
      </w:tr>
      <w:tr w:rsidR="005B376C" w:rsidTr="005B376C">
        <w:trPr>
          <w:trHeight w:val="210"/>
        </w:trPr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</w:p>
        </w:tc>
        <w:tc>
          <w:tcPr>
            <w:tcW w:w="1971" w:type="dxa"/>
          </w:tcPr>
          <w:p w:rsidR="00F81381" w:rsidRDefault="00F81381" w:rsidP="00F8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971" w:type="dxa"/>
          </w:tcPr>
          <w:p w:rsidR="005B376C" w:rsidRDefault="00F81381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Ільницька О.М.  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  <w:tr w:rsidR="005B376C" w:rsidTr="00F81381">
        <w:trPr>
          <w:trHeight w:val="560"/>
        </w:trPr>
        <w:tc>
          <w:tcPr>
            <w:tcW w:w="1971" w:type="dxa"/>
          </w:tcPr>
          <w:p w:rsidR="005B376C" w:rsidRDefault="005B376C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1971" w:type="dxa"/>
          </w:tcPr>
          <w:p w:rsidR="00F81381" w:rsidRDefault="00F81381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Кропивницька       М.П.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1971" w:type="dxa"/>
          </w:tcPr>
          <w:p w:rsidR="005B376C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Яворський І.М.</w:t>
            </w:r>
          </w:p>
        </w:tc>
      </w:tr>
      <w:tr w:rsidR="00F81381" w:rsidTr="00F81381">
        <w:trPr>
          <w:trHeight w:val="230"/>
        </w:trPr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81381" w:rsidRDefault="00F81381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Ільницька О.І.</w:t>
            </w:r>
          </w:p>
        </w:tc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Лопатень Н.М.</w:t>
            </w:r>
          </w:p>
        </w:tc>
      </w:tr>
      <w:tr w:rsidR="00F81381" w:rsidTr="00F81381">
        <w:trPr>
          <w:trHeight w:val="190"/>
        </w:trPr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1971" w:type="dxa"/>
          </w:tcPr>
          <w:p w:rsidR="00F81381" w:rsidRDefault="00F81381" w:rsidP="00F8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Дністрян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F81381" w:rsidRDefault="00F81381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Поточняк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</w:p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Кропивницька О. (11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81381" w:rsidTr="00F81381">
        <w:trPr>
          <w:trHeight w:val="200"/>
        </w:trPr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81381" w:rsidRDefault="00F8138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(11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F81381" w:rsidRDefault="00087BD9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F81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1381">
              <w:rPr>
                <w:rFonts w:ascii="Times New Roman" w:hAnsi="Times New Roman" w:cs="Times New Roman"/>
                <w:sz w:val="28"/>
                <w:szCs w:val="28"/>
              </w:rPr>
              <w:t>совська</w:t>
            </w:r>
            <w:proofErr w:type="spellEnd"/>
            <w:r w:rsidR="00F81381">
              <w:rPr>
                <w:rFonts w:ascii="Times New Roman" w:hAnsi="Times New Roman" w:cs="Times New Roman"/>
                <w:sz w:val="28"/>
                <w:szCs w:val="28"/>
              </w:rPr>
              <w:t xml:space="preserve"> Х. (10 </w:t>
            </w:r>
            <w:proofErr w:type="spellStart"/>
            <w:r w:rsidR="00F81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13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Ільницький М.</w:t>
            </w:r>
          </w:p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Римар М.</w:t>
            </w:r>
          </w:p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81381" w:rsidTr="005B376C">
        <w:trPr>
          <w:trHeight w:val="112"/>
        </w:trPr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71" w:type="dxa"/>
          </w:tcPr>
          <w:p w:rsidR="00F81381" w:rsidRDefault="00DB7D84" w:rsidP="00F8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Дністрян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Кропивницька Н.</w:t>
            </w:r>
          </w:p>
        </w:tc>
        <w:tc>
          <w:tcPr>
            <w:tcW w:w="1971" w:type="dxa"/>
          </w:tcPr>
          <w:p w:rsidR="00F81381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</w:p>
        </w:tc>
      </w:tr>
    </w:tbl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ЗЗСО: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І.Є./</w:t>
      </w: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DB7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DB7D84" w:rsidRPr="00A33701" w:rsidRDefault="00DB7D84" w:rsidP="005B37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3701">
        <w:rPr>
          <w:rFonts w:ascii="Times New Roman" w:hAnsi="Times New Roman" w:cs="Times New Roman"/>
          <w:sz w:val="32"/>
          <w:szCs w:val="32"/>
        </w:rPr>
        <w:t>План роботи динамічних груп</w:t>
      </w: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194"/>
        <w:gridCol w:w="3149"/>
        <w:gridCol w:w="1913"/>
        <w:gridCol w:w="2075"/>
      </w:tblGrid>
      <w:tr w:rsidR="00DB7D84" w:rsidTr="00204CDE">
        <w:tc>
          <w:tcPr>
            <w:tcW w:w="524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4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Етапи </w:t>
            </w:r>
          </w:p>
        </w:tc>
        <w:tc>
          <w:tcPr>
            <w:tcW w:w="3149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913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Термін </w:t>
            </w:r>
          </w:p>
        </w:tc>
        <w:tc>
          <w:tcPr>
            <w:tcW w:w="2075" w:type="dxa"/>
          </w:tcPr>
          <w:p w:rsidR="00DB7D84" w:rsidRDefault="00DB7D84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роботи</w:t>
            </w:r>
          </w:p>
        </w:tc>
      </w:tr>
      <w:tr w:rsidR="00A33701" w:rsidTr="00204CDE">
        <w:trPr>
          <w:trHeight w:val="640"/>
        </w:trPr>
        <w:tc>
          <w:tcPr>
            <w:tcW w:w="524" w:type="dxa"/>
            <w:vMerge w:val="restart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  <w:vMerge w:val="restart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Підготовчий </w:t>
            </w:r>
          </w:p>
        </w:tc>
        <w:tc>
          <w:tcPr>
            <w:tcW w:w="3149" w:type="dxa"/>
          </w:tcPr>
          <w:p w:rsidR="00A33701" w:rsidRDefault="00A33701" w:rsidP="00A3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денамічних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</w:p>
        </w:tc>
        <w:tc>
          <w:tcPr>
            <w:tcW w:w="1913" w:type="dxa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05.01.2023р.</w:t>
            </w:r>
          </w:p>
        </w:tc>
        <w:tc>
          <w:tcPr>
            <w:tcW w:w="2075" w:type="dxa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01" w:rsidTr="00204CDE">
        <w:trPr>
          <w:trHeight w:val="330"/>
        </w:trPr>
        <w:tc>
          <w:tcPr>
            <w:tcW w:w="524" w:type="dxa"/>
            <w:vMerge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нормативною базою, Положенням, методичними рекомендаціями щодо функціонування внутрішньої системи забезпечення якості освіти; укладання анкет, критеріїв.</w:t>
            </w:r>
          </w:p>
        </w:tc>
        <w:tc>
          <w:tcPr>
            <w:tcW w:w="1913" w:type="dxa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10.01.2023р.</w:t>
            </w:r>
          </w:p>
        </w:tc>
        <w:tc>
          <w:tcPr>
            <w:tcW w:w="2075" w:type="dxa"/>
          </w:tcPr>
          <w:p w:rsidR="00A33701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Круглі столи, консультації</w:t>
            </w:r>
          </w:p>
        </w:tc>
      </w:tr>
      <w:tr w:rsidR="00DB7D84" w:rsidTr="00204CDE">
        <w:tc>
          <w:tcPr>
            <w:tcW w:w="524" w:type="dxa"/>
          </w:tcPr>
          <w:p w:rsidR="00DB7D84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DB7D84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динамічних груп</w:t>
            </w:r>
          </w:p>
        </w:tc>
        <w:tc>
          <w:tcPr>
            <w:tcW w:w="3149" w:type="dxa"/>
          </w:tcPr>
          <w:p w:rsidR="00DB7D84" w:rsidRDefault="00A33701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стану забезпечення функціонування внутрішньої системи забезпечення якості освіти у чотирьох напрямах: освітнє середовище, системи оцінювання здобувачів освіти, педагогічна діяльність педагогічних працівників школи. Збір описової та кількісної інформації.</w:t>
            </w:r>
          </w:p>
        </w:tc>
        <w:tc>
          <w:tcPr>
            <w:tcW w:w="1913" w:type="dxa"/>
          </w:tcPr>
          <w:p w:rsidR="00E21ECA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B7D84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20.05.2023р. </w:t>
            </w:r>
          </w:p>
        </w:tc>
        <w:tc>
          <w:tcPr>
            <w:tcW w:w="2075" w:type="dxa"/>
          </w:tcPr>
          <w:p w:rsidR="00DB7D84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опитування, анкетування, відвідув</w:t>
            </w:r>
            <w:r w:rsidR="00C8556F">
              <w:rPr>
                <w:rFonts w:ascii="Times New Roman" w:hAnsi="Times New Roman" w:cs="Times New Roman"/>
                <w:sz w:val="28"/>
                <w:szCs w:val="28"/>
              </w:rPr>
              <w:t xml:space="preserve">ання уроків. Проведення </w:t>
            </w:r>
            <w:proofErr w:type="spellStart"/>
            <w:r w:rsidR="00C8556F">
              <w:rPr>
                <w:rFonts w:ascii="Times New Roman" w:hAnsi="Times New Roman" w:cs="Times New Roman"/>
                <w:sz w:val="28"/>
                <w:szCs w:val="28"/>
              </w:rPr>
              <w:t>монітори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бесіди.</w:t>
            </w:r>
          </w:p>
        </w:tc>
      </w:tr>
      <w:tr w:rsidR="00A33701" w:rsidTr="00204CDE">
        <w:trPr>
          <w:trHeight w:val="220"/>
        </w:trPr>
        <w:tc>
          <w:tcPr>
            <w:tcW w:w="524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4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результатів</w:t>
            </w:r>
          </w:p>
        </w:tc>
        <w:tc>
          <w:tcPr>
            <w:tcW w:w="3149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групах, створення діаграм, графіків. Укладання детального аналізу роботи груп.</w:t>
            </w:r>
          </w:p>
        </w:tc>
        <w:tc>
          <w:tcPr>
            <w:tcW w:w="1913" w:type="dxa"/>
          </w:tcPr>
          <w:p w:rsidR="00A33701" w:rsidRDefault="00E21ECA" w:rsidP="00E2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21ECA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15.05.2023р. – 10.06.2023р.</w:t>
            </w:r>
          </w:p>
        </w:tc>
        <w:tc>
          <w:tcPr>
            <w:tcW w:w="2075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</w:t>
            </w:r>
          </w:p>
        </w:tc>
      </w:tr>
      <w:tr w:rsidR="00A33701" w:rsidTr="00204CDE">
        <w:trPr>
          <w:trHeight w:val="100"/>
        </w:trPr>
        <w:tc>
          <w:tcPr>
            <w:tcW w:w="524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4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Представлення результатів проведення комплексного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ефективності функціонування внутрішньої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системи забезпечення якості освіти за чотирма напрямами освітньої діяльності школи</w:t>
            </w:r>
          </w:p>
        </w:tc>
        <w:tc>
          <w:tcPr>
            <w:tcW w:w="3149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Проведення круглого стому за результатами комплексного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закладу, висвітлення результатів на сайті школи.</w:t>
            </w:r>
          </w:p>
        </w:tc>
        <w:tc>
          <w:tcPr>
            <w:tcW w:w="1913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E21ECA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2023р</w:t>
            </w:r>
          </w:p>
        </w:tc>
        <w:tc>
          <w:tcPr>
            <w:tcW w:w="2075" w:type="dxa"/>
          </w:tcPr>
          <w:p w:rsidR="00A33701" w:rsidRDefault="00E21ECA" w:rsidP="005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  <w:r w:rsidR="00204CDE">
              <w:rPr>
                <w:rFonts w:ascii="Times New Roman" w:hAnsi="Times New Roman" w:cs="Times New Roman"/>
                <w:sz w:val="28"/>
                <w:szCs w:val="28"/>
              </w:rPr>
              <w:t>, звіт.</w:t>
            </w:r>
          </w:p>
        </w:tc>
      </w:tr>
    </w:tbl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204CDE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ЗЗСО: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І.Є./</w:t>
      </w:r>
    </w:p>
    <w:p w:rsidR="00DB7D84" w:rsidRDefault="00DB7D84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76C" w:rsidRDefault="005B376C" w:rsidP="005B3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B2" w:rsidRDefault="006127B2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8B3" w:rsidRDefault="001E78B3" w:rsidP="001E7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8B3" w:rsidRPr="001E78B3" w:rsidRDefault="001E78B3">
      <w:pPr>
        <w:rPr>
          <w:rFonts w:ascii="Times New Roman" w:hAnsi="Times New Roman" w:cs="Times New Roman"/>
          <w:sz w:val="28"/>
          <w:szCs w:val="28"/>
        </w:rPr>
      </w:pPr>
    </w:p>
    <w:sectPr w:rsidR="001E78B3" w:rsidRPr="001E7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B3"/>
    <w:rsid w:val="00087BD9"/>
    <w:rsid w:val="001E78B3"/>
    <w:rsid w:val="00204CDE"/>
    <w:rsid w:val="005B376C"/>
    <w:rsid w:val="006127B2"/>
    <w:rsid w:val="00893423"/>
    <w:rsid w:val="00A33701"/>
    <w:rsid w:val="00B22C98"/>
    <w:rsid w:val="00C8556F"/>
    <w:rsid w:val="00DB7D84"/>
    <w:rsid w:val="00E21ECA"/>
    <w:rsid w:val="00F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2023-02-09T07:53:00Z</dcterms:created>
  <dcterms:modified xsi:type="dcterms:W3CDTF">2023-02-09T11:07:00Z</dcterms:modified>
</cp:coreProperties>
</file>