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Типова освітня програма </w:t>
      </w:r>
    </w:p>
    <w:p w:rsidR="00C32414" w:rsidRDefault="00C32414" w:rsidP="00C32414">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закладів </w:t>
      </w:r>
      <w:r>
        <w:rPr>
          <w:rFonts w:ascii="Times New Roman" w:eastAsia="Calibri" w:hAnsi="Times New Roman" w:cs="Times New Roman"/>
          <w:b/>
          <w:sz w:val="28"/>
          <w:szCs w:val="28"/>
          <w:lang w:val="uk-UA"/>
        </w:rPr>
        <w:t xml:space="preserve">загальної середньої освіти </w:t>
      </w:r>
      <w:r>
        <w:rPr>
          <w:rFonts w:ascii="Times New Roman" w:eastAsia="Calibri" w:hAnsi="Times New Roman" w:cs="Times New Roman"/>
          <w:b/>
          <w:bCs/>
          <w:sz w:val="28"/>
          <w:szCs w:val="28"/>
          <w:lang w:val="uk-UA"/>
        </w:rPr>
        <w:t>І ступеня</w:t>
      </w:r>
    </w:p>
    <w:p w:rsidR="00C32414" w:rsidRDefault="00C32414" w:rsidP="00C32414">
      <w:pPr>
        <w:ind w:right="85"/>
        <w:jc w:val="center"/>
        <w:rPr>
          <w:rFonts w:ascii="Times New Roman" w:eastAsia="Calibri" w:hAnsi="Times New Roman" w:cs="Times New Roman"/>
          <w:b/>
          <w:bCs/>
          <w:sz w:val="28"/>
          <w:szCs w:val="28"/>
          <w:lang w:val="uk-UA"/>
        </w:rPr>
      </w:pPr>
    </w:p>
    <w:p w:rsidR="00C32414" w:rsidRDefault="00C32414" w:rsidP="00C32414">
      <w:pPr>
        <w:ind w:right="85"/>
        <w:jc w:val="center"/>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Загальні положення типової освітньої програми </w:t>
      </w:r>
      <w:r>
        <w:rPr>
          <w:rFonts w:ascii="Times New Roman" w:eastAsia="Calibri" w:hAnsi="Times New Roman" w:cs="Times New Roman"/>
          <w:bCs/>
          <w:sz w:val="28"/>
          <w:szCs w:val="28"/>
          <w:lang w:val="uk-UA"/>
        </w:rPr>
        <w:br/>
        <w:t xml:space="preserve">закладів </w:t>
      </w:r>
      <w:r>
        <w:rPr>
          <w:rFonts w:ascii="Times New Roman" w:eastAsia="Calibri" w:hAnsi="Times New Roman" w:cs="Times New Roman"/>
          <w:sz w:val="28"/>
          <w:szCs w:val="28"/>
          <w:lang w:val="uk-UA"/>
        </w:rPr>
        <w:t xml:space="preserve">загальної середньої освіти </w:t>
      </w:r>
      <w:r>
        <w:rPr>
          <w:rFonts w:ascii="Times New Roman" w:eastAsia="Calibri" w:hAnsi="Times New Roman" w:cs="Times New Roman"/>
          <w:bCs/>
          <w:sz w:val="28"/>
          <w:szCs w:val="28"/>
          <w:lang w:val="uk-UA"/>
        </w:rPr>
        <w:t>І ступеня</w:t>
      </w: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Типова освітня програма визначає: </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lang w:val="uk-UA"/>
        </w:rPr>
        <w:t xml:space="preserve">. Загальний обсяг навчального навантаження для учнів 2-4-х класів закладів загальної </w:t>
      </w:r>
      <w:r>
        <w:rPr>
          <w:rFonts w:ascii="Times New Roman" w:eastAsia="Calibri" w:hAnsi="Times New Roman" w:cs="Times New Roman"/>
          <w:sz w:val="28"/>
          <w:szCs w:val="28"/>
          <w:lang w:val="uk-UA"/>
        </w:rPr>
        <w:lastRenderedPageBreak/>
        <w:t xml:space="preserve">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(далі </w:t>
      </w:r>
      <w:proofErr w:type="spellStart"/>
      <w:r>
        <w:rPr>
          <w:rFonts w:ascii="Times New Roman" w:eastAsia="Calibri" w:hAnsi="Times New Roman" w:cs="Times New Roman"/>
          <w:sz w:val="28"/>
          <w:szCs w:val="28"/>
          <w:lang w:val="uk-UA"/>
        </w:rPr>
        <w:t>–навчальний</w:t>
      </w:r>
      <w:proofErr w:type="spellEnd"/>
      <w:r>
        <w:rPr>
          <w:rFonts w:ascii="Times New Roman" w:eastAsia="Calibri" w:hAnsi="Times New Roman" w:cs="Times New Roman"/>
          <w:sz w:val="28"/>
          <w:szCs w:val="28"/>
          <w:lang w:val="uk-UA"/>
        </w:rPr>
        <w:t xml:space="preserve"> план).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32414" w:rsidRDefault="00C32414" w:rsidP="00C32414">
      <w:pPr>
        <w:tabs>
          <w:tab w:val="left" w:pos="3740"/>
        </w:tabs>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sz w:val="28"/>
          <w:szCs w:val="28"/>
          <w:lang w:val="uk-UA" w:eastAsia="uk-UA" w:bidi="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Pr>
          <w:rFonts w:ascii="Times New Roman" w:eastAsia="Calibri" w:hAnsi="Times New Roman" w:cs="Times New Roman"/>
          <w:sz w:val="28"/>
          <w:szCs w:val="28"/>
          <w:lang w:val="uk-UA"/>
        </w:rPr>
        <w:t xml:space="preserve">тів </w:t>
      </w:r>
      <w:proofErr w:type="spellStart"/>
      <w:r>
        <w:rPr>
          <w:rFonts w:ascii="Times New Roman" w:eastAsia="Calibri" w:hAnsi="Times New Roman" w:cs="Times New Roman"/>
          <w:sz w:val="28"/>
          <w:szCs w:val="28"/>
          <w:lang w:val="uk-UA"/>
        </w:rPr>
        <w:t>художкньо-естетичного</w:t>
      </w:r>
      <w:proofErr w:type="spellEnd"/>
      <w:r>
        <w:rPr>
          <w:rFonts w:ascii="Times New Roman" w:eastAsia="Calibri" w:hAnsi="Times New Roman" w:cs="Times New Roman"/>
          <w:sz w:val="28"/>
          <w:szCs w:val="28"/>
          <w:lang w:val="uk-UA"/>
        </w:rPr>
        <w:t xml:space="preserve"> циклу </w:t>
      </w:r>
      <w:r>
        <w:rPr>
          <w:rFonts w:ascii="Times New Roman" w:eastAsia="Calibri" w:hAnsi="Times New Roman" w:cs="Times New Roman"/>
          <w:sz w:val="28"/>
          <w:szCs w:val="28"/>
          <w:lang w:val="uk-UA" w:eastAsia="uk-UA" w:bidi="uk-UA"/>
        </w:rPr>
        <w:t>(таблиці 6, 7).</w:t>
      </w:r>
    </w:p>
    <w:p w:rsidR="00C32414" w:rsidRDefault="00C32414" w:rsidP="00C32414">
      <w:pPr>
        <w:tabs>
          <w:tab w:val="left" w:pos="3740"/>
        </w:tabs>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Pr>
          <w:rFonts w:ascii="Times New Roman" w:eastAsia="Calibri" w:hAnsi="Times New Roman" w:cs="Times New Roman"/>
          <w:sz w:val="28"/>
          <w:szCs w:val="28"/>
          <w:lang w:val="uk-UA" w:eastAsia="uk-UA" w:bidi="uk-UA"/>
        </w:rPr>
        <w:t>мова</w:t>
      </w:r>
      <w:proofErr w:type="spellEnd"/>
      <w:r>
        <w:rPr>
          <w:rFonts w:ascii="Times New Roman" w:eastAsia="Calibri" w:hAnsi="Times New Roman" w:cs="Times New Roman"/>
          <w:sz w:val="28"/>
          <w:szCs w:val="28"/>
          <w:lang w:val="uk-UA" w:eastAsia="uk-UA" w:bidi="uk-UA"/>
        </w:rPr>
        <w:t xml:space="preserve"> і читання)", "Мова корінного народу, національної меншини (мова і читання)", "Іноземна мова".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lastRenderedPageBreak/>
        <w:t>Освітні галузі "Математика", "Природознавство" реалізуються через однойменні окремі предмети, відповідно, - "Математика", "Природознавство".</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Pr>
          <w:rFonts w:ascii="Times New Roman" w:eastAsia="Calibri" w:hAnsi="Times New Roman" w:cs="Times New Roman"/>
          <w:sz w:val="28"/>
          <w:szCs w:val="28"/>
          <w:lang w:val="uk-UA" w:eastAsia="ru-RU" w:bidi="ru-RU"/>
        </w:rPr>
        <w:t xml:space="preserve">Заклад загальної середньої освіти </w:t>
      </w:r>
      <w:r>
        <w:rPr>
          <w:rFonts w:ascii="Times New Roman" w:eastAsia="Calibri" w:hAnsi="Times New Roman" w:cs="Times New Roman"/>
          <w:sz w:val="28"/>
          <w:szCs w:val="28"/>
          <w:lang w:val="uk-UA" w:eastAsia="uk-UA" w:bidi="uk-UA"/>
        </w:rPr>
        <w:t xml:space="preserve">може обирати окремі курси музичного та образотворчого мистецтва або інтегрований </w:t>
      </w:r>
      <w:r>
        <w:rPr>
          <w:rFonts w:ascii="Times New Roman" w:eastAsia="Calibri" w:hAnsi="Times New Roman" w:cs="Times New Roman"/>
          <w:sz w:val="28"/>
          <w:szCs w:val="28"/>
          <w:lang w:eastAsia="ru-RU" w:bidi="ru-RU"/>
        </w:rPr>
        <w:t xml:space="preserve">курс </w:t>
      </w:r>
      <w:r>
        <w:rPr>
          <w:rFonts w:ascii="Times New Roman" w:eastAsia="Calibri" w:hAnsi="Times New Roman" w:cs="Times New Roman"/>
          <w:sz w:val="28"/>
          <w:szCs w:val="28"/>
          <w:lang w:val="uk-UA" w:eastAsia="uk-UA" w:bidi="uk-UA"/>
        </w:rPr>
        <w:t>"Мистецтво".</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ascii="Times New Roman" w:eastAsia="Calibri" w:hAnsi="Times New Roman" w:cs="Times New Roman"/>
          <w:sz w:val="28"/>
          <w:szCs w:val="28"/>
          <w:lang w:val="uk-UA"/>
        </w:rPr>
        <w:t xml:space="preserve">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ascii="Times New Roman" w:eastAsia="Calibri" w:hAnsi="Times New Roman" w:cs="Times New Roman"/>
          <w:sz w:val="28"/>
          <w:szCs w:val="28"/>
          <w:lang w:eastAsia="uk-UA" w:bidi="uk-UA"/>
        </w:rPr>
        <w:t> </w:t>
      </w:r>
      <w:r>
        <w:rPr>
          <w:rFonts w:ascii="Times New Roman" w:eastAsia="Calibri" w:hAnsi="Times New Roman" w:cs="Times New Roman"/>
          <w:sz w:val="28"/>
          <w:szCs w:val="28"/>
          <w:lang w:val="uk-UA" w:eastAsia="uk-UA" w:bidi="uk-UA"/>
        </w:rPr>
        <w:t>хвилин.</w:t>
      </w:r>
      <w:r>
        <w:rPr>
          <w:rFonts w:ascii="Times New Roman" w:eastAsia="Calibri" w:hAnsi="Times New Roman" w:cs="Times New Roman"/>
          <w:sz w:val="28"/>
          <w:szCs w:val="28"/>
          <w:lang w:val="uk-UA"/>
        </w:rPr>
        <w:t xml:space="preserve"> </w:t>
      </w:r>
    </w:p>
    <w:p w:rsidR="00C32414" w:rsidRDefault="00C32414" w:rsidP="00C32414">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32414" w:rsidRDefault="00C32414" w:rsidP="00C32414">
      <w:pPr>
        <w:tabs>
          <w:tab w:val="left" w:pos="8430"/>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w:t>
      </w:r>
      <w:r>
        <w:rPr>
          <w:rFonts w:ascii="Times New Roman" w:eastAsia="Calibri" w:hAnsi="Times New Roman" w:cs="Times New Roman"/>
          <w:sz w:val="28"/>
          <w:szCs w:val="28"/>
          <w:lang w:val="uk-UA"/>
        </w:rPr>
        <w:lastRenderedPageBreak/>
        <w:t xml:space="preserve">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Варіативна складова навчальних планів використовується на:</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індивідуальні заняття та консультації.</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Pr>
          <w:rFonts w:ascii="Times New Roman" w:eastAsia="Calibri" w:hAnsi="Times New Roman" w:cs="Times New Roman"/>
          <w:sz w:val="28"/>
          <w:szCs w:val="28"/>
          <w:lang w:val="uk-UA"/>
        </w:rPr>
        <w:t>статево-вікових</w:t>
      </w:r>
      <w:proofErr w:type="spellEnd"/>
      <w:r>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Гранична наповнюваність класів встановлюється відповідно до Закону України "Про загальну середню освіту". </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C32414" w:rsidRDefault="00C32414" w:rsidP="00C32414">
      <w:pPr>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i/>
          <w:sz w:val="28"/>
          <w:szCs w:val="28"/>
          <w:lang w:val="uk-UA"/>
        </w:rPr>
        <w:t>Очікувані результати навчання здобувачів освіти.</w:t>
      </w:r>
      <w:r>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eastAsia="Calibri" w:hAnsi="Times New Roman" w:cs="Times New Roman"/>
          <w:sz w:val="28"/>
          <w:szCs w:val="28"/>
          <w:lang w:val="uk-UA"/>
        </w:rPr>
        <w:t>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учнів.</w:t>
      </w:r>
    </w:p>
    <w:p w:rsidR="00C32414" w:rsidRDefault="00C32414" w:rsidP="00C32414">
      <w:pPr>
        <w:ind w:firstLine="709"/>
        <w:jc w:val="both"/>
        <w:rPr>
          <w:rFonts w:ascii="Times New Roman" w:eastAsia="Arial" w:hAnsi="Times New Roman" w:cs="Times New Roman"/>
          <w:sz w:val="28"/>
          <w:szCs w:val="28"/>
          <w:highlight w:val="white"/>
          <w:lang w:val="uk-UA" w:eastAsia="uk-UA"/>
        </w:rPr>
      </w:pPr>
      <w:r>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sz w:val="28"/>
          <w:szCs w:val="28"/>
          <w:highlight w:val="white"/>
          <w:lang w:val="uk-UA" w:eastAsia="uk-UA"/>
        </w:rPr>
        <w:t>компетентностей</w:t>
      </w:r>
      <w:proofErr w:type="spellEnd"/>
      <w:r>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val="uk-UA" w:eastAsia="uk-UA"/>
        </w:rPr>
        <w:t xml:space="preserve"> </w:t>
      </w:r>
      <w:r>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C32414" w:rsidRDefault="00C32414" w:rsidP="00C3241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є </w:t>
      </w:r>
      <w:proofErr w:type="spellStart"/>
      <w:r>
        <w:rPr>
          <w:rFonts w:ascii="Times New Roman" w:eastAsia="Times New Roman" w:hAnsi="Times New Roman" w:cs="Times New Roman"/>
          <w:sz w:val="28"/>
          <w:szCs w:val="28"/>
          <w:highlight w:val="white"/>
          <w:lang w:val="uk-UA"/>
        </w:rPr>
        <w:t>діяльнісна</w:t>
      </w:r>
      <w:proofErr w:type="spellEnd"/>
      <w:r>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lang w:val="uk-UA"/>
        </w:rPr>
        <w:t>внутрішньопредметних</w:t>
      </w:r>
      <w:proofErr w:type="spellEnd"/>
      <w:r>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Pr>
          <w:rFonts w:ascii="Times New Roman" w:eastAsia="Times New Roman" w:hAnsi="Times New Roman" w:cs="Times New Roman"/>
          <w:sz w:val="28"/>
          <w:szCs w:val="28"/>
          <w:highlight w:val="white"/>
          <w:lang w:val="uk-UA"/>
        </w:rPr>
        <w:t>операційно-діяльнісних</w:t>
      </w:r>
      <w:proofErr w:type="spellEnd"/>
      <w:r>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lastRenderedPageBreak/>
        <w:t>Перелік освітніх галузей.</w:t>
      </w:r>
      <w:r>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Мови і літератури </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p w:rsidR="00C32414" w:rsidRDefault="00C32414" w:rsidP="00C32414">
      <w:pPr>
        <w:tabs>
          <w:tab w:val="left" w:pos="1134"/>
        </w:tabs>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Технології</w:t>
      </w:r>
    </w:p>
    <w:p w:rsidR="00C32414" w:rsidRDefault="00C32414" w:rsidP="00C32414">
      <w:pPr>
        <w:tabs>
          <w:tab w:val="left" w:pos="1134"/>
        </w:tabs>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Здоров’я і фізична культура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Логічна послідовність вивчення предметів</w:t>
      </w:r>
      <w:r>
        <w:rPr>
          <w:rFonts w:ascii="Times New Roman" w:eastAsia="Calibri" w:hAnsi="Times New Roman" w:cs="Times New Roman"/>
          <w:sz w:val="28"/>
          <w:szCs w:val="28"/>
          <w:lang w:val="uk-UA"/>
        </w:rPr>
        <w:t xml:space="preserve"> розкривається у відповідних </w:t>
      </w:r>
      <w:r>
        <w:rPr>
          <w:rFonts w:ascii="Times New Roman" w:eastAsia="Calibri" w:hAnsi="Times New Roman" w:cs="Times New Roman"/>
          <w:i/>
          <w:sz w:val="28"/>
          <w:szCs w:val="28"/>
          <w:lang w:val="uk-UA"/>
        </w:rPr>
        <w:t>навчальних</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програмах</w:t>
      </w:r>
      <w:r>
        <w:rPr>
          <w:rFonts w:ascii="Times New Roman" w:eastAsia="Calibri" w:hAnsi="Times New Roman" w:cs="Times New Roman"/>
          <w:sz w:val="28"/>
          <w:szCs w:val="28"/>
          <w:lang w:val="uk-UA"/>
        </w:rPr>
        <w:t>.</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Рекомендовані форми організації освітнього процесу.</w:t>
      </w:r>
      <w:r>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lang w:val="uk-UA"/>
        </w:rPr>
        <w:t>квести</w:t>
      </w:r>
      <w:proofErr w:type="spellEnd"/>
      <w:r>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кадрове забезпечення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навчально-методичне забезпечення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матеріально-технічне забезпечення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якість проведення навчальних занять;</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rPr>
        <w:t>результатів навчання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w:t>
      </w:r>
    </w:p>
    <w:p w:rsidR="00C32414" w:rsidRDefault="00C32414" w:rsidP="00C32414">
      <w:pPr>
        <w:shd w:val="clear" w:color="auto" w:fill="FFFFFF"/>
        <w:tabs>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Завдання системи внутрішнього забезпечення якості освіти:</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оновлення методичної бази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Освітня програма закладу початкової освіти</w:t>
      </w:r>
      <w:r>
        <w:rPr>
          <w:rFonts w:ascii="Times New Roman" w:eastAsia="Calibri" w:hAnsi="Times New Roman" w:cs="Times New Roman"/>
          <w:sz w:val="28"/>
          <w:szCs w:val="28"/>
          <w:lang w:val="uk-UA"/>
        </w:rPr>
        <w:t xml:space="preserve"> має передбачати досягнення учнями результатів навчання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визначених Державним стандартом.</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eastAsia="Calibri" w:hAnsi="Times New Roman" w:cs="Times New Roman"/>
          <w:lang w:val="uk-UA"/>
        </w:rPr>
        <w:t xml:space="preserve">. </w:t>
      </w:r>
      <w:r>
        <w:rPr>
          <w:rFonts w:ascii="Times New Roman" w:eastAsia="Calibri" w:hAnsi="Times New Roman" w:cs="Times New Roman"/>
          <w:sz w:val="28"/>
          <w:szCs w:val="28"/>
          <w:lang w:val="uk-UA"/>
        </w:rPr>
        <w:t>Її схвалює педагогічна рада закладу освіти та затверджує його директор. Окрім освітніх</w:t>
      </w:r>
      <w:r>
        <w:rPr>
          <w:rFonts w:ascii="Times New Roman" w:eastAsia="Calibri" w:hAnsi="Times New Roman" w:cs="Times New Roman"/>
          <w:lang w:val="uk-UA"/>
        </w:rPr>
        <w:t xml:space="preserve"> </w:t>
      </w:r>
      <w:r>
        <w:rPr>
          <w:rFonts w:ascii="Times New Roman" w:eastAsia="Calibri" w:hAnsi="Times New Roman" w:cs="Times New Roman"/>
          <w:sz w:val="28"/>
          <w:szCs w:val="28"/>
          <w:lang w:val="uk-U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Pr>
          <w:rFonts w:ascii="Times New Roman" w:eastAsia="Calibri" w:hAnsi="Times New Roman" w:cs="Times New Roman"/>
          <w:sz w:val="28"/>
          <w:szCs w:val="28"/>
          <w:lang w:val="uk-UA"/>
        </w:rPr>
        <w:t>корекційно-розвитковий</w:t>
      </w:r>
      <w:proofErr w:type="spellEnd"/>
      <w:r>
        <w:rPr>
          <w:rFonts w:ascii="Times New Roman" w:eastAsia="Calibri" w:hAnsi="Times New Roman" w:cs="Times New Roman"/>
          <w:sz w:val="28"/>
          <w:szCs w:val="28"/>
          <w:lang w:val="uk-UA"/>
        </w:rPr>
        <w:t xml:space="preserve"> складник для осіб з особливими освітніми потребами.</w:t>
      </w:r>
      <w:r>
        <w:rPr>
          <w:rFonts w:ascii="Calibri" w:eastAsia="Calibri" w:hAnsi="Calibri" w:cs="Times New Roman"/>
          <w:lang w:val="uk-UA"/>
        </w:rPr>
        <w:t xml:space="preserve">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eastAsia="Calibri" w:hAnsi="Calibri" w:cs="Times New Roman"/>
          <w:sz w:val="28"/>
          <w:szCs w:val="28"/>
          <w:lang w:val="uk-UA"/>
        </w:rPr>
        <w:t xml:space="preserve"> </w:t>
      </w:r>
      <w:r>
        <w:rPr>
          <w:rFonts w:ascii="Times New Roman" w:eastAsia="Calibri" w:hAnsi="Times New Roman" w:cs="Times New Roman"/>
          <w:sz w:val="28"/>
          <w:szCs w:val="28"/>
          <w:lang w:val="uk-UA"/>
        </w:rPr>
        <w:t>веб-сайті закладу освіти (у разі його відсутності – на веб-сайті його засновника).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загальної</w:t>
      </w:r>
    </w:p>
    <w:p w:rsidR="00C32414" w:rsidRDefault="00C32414" w:rsidP="00C324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Microsoft Sans Serif" w:eastAsia="Microsoft Sans Serif" w:hAnsi="Microsoft Sans Serif" w:cs="Microsoft Sans Serif"/>
          <w:noProof/>
          <w:color w:val="000000"/>
          <w:sz w:val="24"/>
          <w:szCs w:val="24"/>
          <w:lang w:eastAsia="ru-RU"/>
        </w:rPr>
        <w:drawing>
          <wp:anchor distT="0" distB="0" distL="114300" distR="114300" simplePos="0" relativeHeight="251659264"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 xml:space="preserve">Ю. Г. </w:t>
      </w:r>
    </w:p>
    <w:p w:rsidR="00C32414" w:rsidRDefault="00C32414" w:rsidP="00C324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Кононенко</w:t>
      </w: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rPr>
          <w:rFonts w:ascii="Times New Roman" w:eastAsia="Calibri" w:hAnsi="Times New Roman" w:cs="Times New Roman"/>
          <w:sz w:val="28"/>
          <w:szCs w:val="28"/>
          <w:lang w:val="uk-UA"/>
        </w:rPr>
      </w:pPr>
    </w:p>
    <w:p w:rsidR="00C32414" w:rsidRDefault="00C32414" w:rsidP="00C32414">
      <w:pPr>
        <w:rPr>
          <w:rFonts w:ascii="Times New Roman" w:eastAsia="Microsoft Sans Serif" w:hAnsi="Times New Roman" w:cs="Times New Roman"/>
          <w:color w:val="000000"/>
          <w:sz w:val="28"/>
          <w:szCs w:val="28"/>
          <w:lang w:val="uk-UA" w:bidi="en-US"/>
        </w:rPr>
      </w:pPr>
      <w:bookmarkStart w:id="1" w:name="_GoBack"/>
      <w:bookmarkEnd w:id="1"/>
      <w:r>
        <w:rPr>
          <w:rFonts w:ascii="Times New Roman" w:hAnsi="Times New Roman" w:cs="Times New Roman"/>
          <w:b/>
          <w:i/>
          <w:sz w:val="28"/>
          <w:szCs w:val="28"/>
          <w:lang w:val="uk-UA"/>
        </w:rPr>
        <w:lastRenderedPageBreak/>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C32414" w:rsidRDefault="00C32414" w:rsidP="00C32414">
      <w:pPr>
        <w:rPr>
          <w:rFonts w:ascii="Times New Roman" w:hAnsi="Times New Roman" w:cs="Times New Roman"/>
          <w:b/>
          <w:i/>
          <w:sz w:val="28"/>
          <w:szCs w:val="28"/>
          <w:lang w:val="uk-UA"/>
        </w:rPr>
      </w:pPr>
      <w:r>
        <w:rPr>
          <w:rFonts w:ascii="Times New Roman" w:hAnsi="Times New Roman" w:cs="Times New Roman"/>
          <w:b/>
          <w:i/>
          <w:sz w:val="28"/>
          <w:szCs w:val="28"/>
          <w:lang w:val="uk-UA"/>
        </w:rPr>
        <w:t>Компоненти:</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прогноз кінцевого рівня сформованості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здобувачів освіти;</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C32414" w:rsidRDefault="00C32414" w:rsidP="00C32414">
      <w:pPr>
        <w:shd w:val="clear" w:color="auto" w:fill="FFFFFF"/>
        <w:ind w:left="56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r>
        <w:rPr>
          <w:rFonts w:ascii="Times New Roman" w:eastAsia="Calibri" w:hAnsi="Times New Roman" w:cs="Times New Roman"/>
          <w:sz w:val="28"/>
          <w:szCs w:val="28"/>
          <w:lang w:val="uk-UA"/>
        </w:rPr>
        <w:lastRenderedPageBreak/>
        <w:t>Таблиця 1</w:t>
      </w:r>
    </w:p>
    <w:p w:rsidR="00C32414" w:rsidRDefault="00C32414" w:rsidP="00C32414">
      <w:pPr>
        <w:shd w:val="clear" w:color="auto" w:fill="FFFFFF"/>
        <w:ind w:left="56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Типової освітньої програми</w:t>
      </w:r>
    </w:p>
    <w:p w:rsidR="00C32414" w:rsidRDefault="00C32414" w:rsidP="00C32414">
      <w:pPr>
        <w:ind w:left="4320"/>
        <w:jc w:val="center"/>
        <w:rPr>
          <w:rFonts w:ascii="Times New Roman" w:eastAsia="Calibri" w:hAnsi="Times New Roman" w:cs="Times New Roman"/>
          <w:b/>
          <w:bCs/>
          <w:sz w:val="28"/>
          <w:szCs w:val="28"/>
          <w:lang w:val="uk-UA"/>
        </w:rPr>
      </w:pPr>
    </w:p>
    <w:p w:rsidR="00C32414" w:rsidRDefault="00C32414" w:rsidP="00C3241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Навчальний план </w:t>
      </w:r>
    </w:p>
    <w:p w:rsidR="00C32414" w:rsidRDefault="00C32414" w:rsidP="00C32414">
      <w:pPr>
        <w:jc w:val="center"/>
        <w:rPr>
          <w:rFonts w:ascii="Times New Roman" w:eastAsia="Calibri" w:hAnsi="Times New Roman" w:cs="Times New Roman"/>
          <w:b/>
          <w:bCs/>
          <w:sz w:val="28"/>
          <w:szCs w:val="28"/>
          <w:lang w:val="uk-UA"/>
        </w:rPr>
      </w:pPr>
      <w:r>
        <w:rPr>
          <w:rFonts w:ascii="Times New Roman" w:eastAsia="Calibri" w:hAnsi="Times New Roman" w:cs="Times New Roman"/>
          <w:b/>
          <w:sz w:val="28"/>
          <w:szCs w:val="28"/>
          <w:lang w:val="uk-UA" w:eastAsia="uk-UA" w:bidi="uk-UA"/>
        </w:rPr>
        <w:t>початкової школи з українською мовою навчання</w:t>
      </w:r>
      <w:r>
        <w:rPr>
          <w:rFonts w:ascii="Times New Roman" w:eastAsia="Calibri" w:hAnsi="Times New Roman" w:cs="Times New Roman"/>
          <w:b/>
          <w:bCs/>
          <w:sz w:val="28"/>
          <w:szCs w:val="28"/>
          <w:lang w:val="uk-UA"/>
        </w:rPr>
        <w:t xml:space="preserve"> </w:t>
      </w:r>
    </w:p>
    <w:p w:rsidR="00C32414" w:rsidRDefault="00C32414" w:rsidP="00C32414">
      <w:pPr>
        <w:jc w:val="center"/>
        <w:rPr>
          <w:rFonts w:ascii="Times New Roman" w:eastAsia="Calibri" w:hAnsi="Times New Roman" w:cs="Times New Roman"/>
          <w:b/>
          <w:bCs/>
          <w:sz w:val="28"/>
          <w:szCs w:val="28"/>
          <w:lang w:val="uk-UA"/>
        </w:rPr>
      </w:pPr>
    </w:p>
    <w:tbl>
      <w:tblPr>
        <w:tblW w:w="9930" w:type="dxa"/>
        <w:tblInd w:w="10" w:type="dxa"/>
        <w:tblLayout w:type="fixed"/>
        <w:tblCellMar>
          <w:left w:w="10" w:type="dxa"/>
          <w:right w:w="10" w:type="dxa"/>
        </w:tblCellMar>
        <w:tblLook w:val="04A0" w:firstRow="1" w:lastRow="0" w:firstColumn="1" w:lastColumn="0" w:noHBand="0" w:noVBand="1"/>
      </w:tblPr>
      <w:tblGrid>
        <w:gridCol w:w="2836"/>
        <w:gridCol w:w="3402"/>
        <w:gridCol w:w="8"/>
        <w:gridCol w:w="846"/>
        <w:gridCol w:w="851"/>
        <w:gridCol w:w="994"/>
        <w:gridCol w:w="993"/>
      </w:tblGrid>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C32414" w:rsidRDefault="00C3241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C32414" w:rsidRDefault="00C3241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Предмети</w:t>
            </w:r>
          </w:p>
        </w:tc>
        <w:tc>
          <w:tcPr>
            <w:tcW w:w="3688" w:type="dxa"/>
            <w:gridSpan w:val="5"/>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Кількість годин на тиждень у класах</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b/>
                <w:sz w:val="28"/>
                <w:szCs w:val="28"/>
                <w:lang w:val="uk-UA"/>
              </w:rPr>
            </w:pPr>
          </w:p>
        </w:tc>
        <w:tc>
          <w:tcPr>
            <w:tcW w:w="3400"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b/>
                <w:sz w:val="28"/>
                <w:szCs w:val="28"/>
                <w:lang w:val="uk-U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eastAsia="uk-UA" w:bidi="uk-UA"/>
              </w:rPr>
              <w:t>Разом</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C32414" w:rsidTr="00C32414">
        <w:trPr>
          <w:trHeight w:val="20"/>
        </w:trPr>
        <w:tc>
          <w:tcPr>
            <w:tcW w:w="2835" w:type="dxa"/>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r>
      <w:tr w:rsidR="00C32414" w:rsidTr="00C32414">
        <w:trPr>
          <w:trHeight w:val="20"/>
        </w:trPr>
        <w:tc>
          <w:tcPr>
            <w:tcW w:w="2835" w:type="dxa"/>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C32414" w:rsidTr="00C32414">
        <w:trPr>
          <w:trHeight w:val="20"/>
        </w:trPr>
        <w:tc>
          <w:tcPr>
            <w:tcW w:w="2835" w:type="dxa"/>
            <w:tcBorders>
              <w:top w:val="single" w:sz="4" w:space="0" w:color="auto"/>
              <w:left w:val="single" w:sz="4" w:space="0" w:color="auto"/>
              <w:bottom w:val="nil"/>
              <w:right w:val="nil"/>
            </w:tcBorders>
            <w:shd w:val="clear" w:color="auto" w:fill="FFFFFF"/>
            <w:vAlign w:val="center"/>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r>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vAlign w:val="center"/>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r>
      <w:tr w:rsidR="00C32414" w:rsidTr="00C32414">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20+3</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80+12</w:t>
            </w:r>
          </w:p>
        </w:tc>
      </w:tr>
      <w:tr w:rsidR="00C32414" w:rsidTr="00C32414">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4"/>
                <w:szCs w:val="24"/>
                <w:lang w:val="uk-UA"/>
              </w:rPr>
            </w:pPr>
            <w:r>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C32414" w:rsidTr="00C32414">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4"/>
                <w:szCs w:val="24"/>
                <w:lang w:val="uk-UA"/>
              </w:rPr>
            </w:pPr>
            <w:r>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850" w:type="dxa"/>
            <w:tcBorders>
              <w:top w:val="single" w:sz="4" w:space="0" w:color="auto"/>
              <w:left w:val="single" w:sz="4" w:space="0" w:color="auto"/>
              <w:bottom w:val="nil"/>
              <w:right w:val="nil"/>
            </w:tcBorders>
            <w:shd w:val="clear" w:color="auto" w:fill="FFFFFF"/>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993" w:type="dxa"/>
            <w:tcBorders>
              <w:top w:val="single" w:sz="4" w:space="0" w:color="auto"/>
              <w:left w:val="single" w:sz="4" w:space="0" w:color="auto"/>
              <w:bottom w:val="nil"/>
              <w:right w:val="nil"/>
            </w:tcBorders>
            <w:shd w:val="clear" w:color="auto" w:fill="FFFFFF"/>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p>
        </w:tc>
      </w:tr>
      <w:tr w:rsidR="00C32414" w:rsidTr="00C32414">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C32414" w:rsidRDefault="00C32414">
            <w:pPr>
              <w:ind w:left="127"/>
              <w:rPr>
                <w:rFonts w:ascii="Times New Roman" w:eastAsia="Calibri" w:hAnsi="Times New Roman" w:cs="Times New Roman"/>
                <w:b/>
                <w:sz w:val="24"/>
                <w:szCs w:val="24"/>
                <w:lang w:val="uk-UA"/>
              </w:rPr>
            </w:pPr>
            <w:r>
              <w:rPr>
                <w:rFonts w:ascii="Times New Roman" w:eastAsia="Calibri" w:hAnsi="Times New Roman" w:cs="Times New Roman"/>
                <w:b/>
                <w:lang w:val="uk-UA" w:eastAsia="uk-UA" w:bidi="uk-UA"/>
              </w:rPr>
              <w:lastRenderedPageBreak/>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tc>
      </w:tr>
    </w:tbl>
    <w:p w:rsidR="00C32414" w:rsidRDefault="00C32414" w:rsidP="00C32414">
      <w:pPr>
        <w:shd w:val="clear" w:color="auto" w:fill="FFFFFF"/>
        <w:jc w:val="both"/>
        <w:rPr>
          <w:rFonts w:ascii="Times New Roman" w:eastAsia="Calibri" w:hAnsi="Times New Roman" w:cs="Times New Roman"/>
          <w:sz w:val="24"/>
          <w:szCs w:val="24"/>
          <w:lang w:val="uk-UA"/>
        </w:rPr>
      </w:pPr>
      <w:r>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32414" w:rsidRDefault="00C32414" w:rsidP="00C32414">
      <w:pPr>
        <w:shd w:val="clear" w:color="auto" w:fill="FFFFFF"/>
        <w:jc w:val="both"/>
        <w:rPr>
          <w:rFonts w:ascii="Times New Roman" w:eastAsia="Calibri" w:hAnsi="Times New Roman" w:cs="Times New Roman"/>
          <w:lang w:val="uk-UA"/>
        </w:rPr>
      </w:pPr>
      <w:r>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32414" w:rsidRDefault="00C32414" w:rsidP="00C32414">
      <w:pPr>
        <w:rPr>
          <w:rFonts w:ascii="Microsoft Sans Serif" w:eastAsia="Microsoft Sans Serif" w:hAnsi="Microsoft Sans Serif" w:cs="Microsoft Sans Serif"/>
          <w:color w:val="000000"/>
          <w:lang w:val="uk-UA" w:bidi="en-US"/>
        </w:rPr>
      </w:pPr>
    </w:p>
    <w:p w:rsidR="008C25AB" w:rsidRPr="00C32414" w:rsidRDefault="008C25AB">
      <w:pPr>
        <w:rPr>
          <w:lang w:val="uk-UA"/>
        </w:rPr>
      </w:pPr>
    </w:p>
    <w:sectPr w:rsidR="008C25AB" w:rsidRPr="00C3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14"/>
    <w:rsid w:val="008C25AB"/>
    <w:rsid w:val="00C3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414"/>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414"/>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8780">
      <w:bodyDiv w:val="1"/>
      <w:marLeft w:val="0"/>
      <w:marRight w:val="0"/>
      <w:marTop w:val="0"/>
      <w:marBottom w:val="0"/>
      <w:divBdr>
        <w:top w:val="none" w:sz="0" w:space="0" w:color="auto"/>
        <w:left w:val="none" w:sz="0" w:space="0" w:color="auto"/>
        <w:bottom w:val="none" w:sz="0" w:space="0" w:color="auto"/>
        <w:right w:val="none" w:sz="0" w:space="0" w:color="auto"/>
      </w:divBdr>
    </w:div>
    <w:div w:id="2060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Administrat</cp:lastModifiedBy>
  <cp:revision>1</cp:revision>
  <dcterms:created xsi:type="dcterms:W3CDTF">2021-03-25T10:15:00Z</dcterms:created>
  <dcterms:modified xsi:type="dcterms:W3CDTF">2021-03-25T10:19:00Z</dcterms:modified>
</cp:coreProperties>
</file>