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BB" w:rsidRPr="00182051" w:rsidRDefault="00FC58BB" w:rsidP="00FC58BB">
      <w:pPr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82051">
        <w:rPr>
          <w:rFonts w:ascii="Times New Roman" w:eastAsia="Times New Roman" w:hAnsi="Times New Roman"/>
          <w:b/>
          <w:sz w:val="24"/>
          <w:szCs w:val="20"/>
          <w:lang w:eastAsia="ru-RU"/>
        </w:rPr>
        <w:t>Методична робота</w:t>
      </w:r>
    </w:p>
    <w:p w:rsidR="00FC58BB" w:rsidRPr="00D4539C" w:rsidRDefault="00FC58BB" w:rsidP="00FC58BB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 2023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році педагогічний колектив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працював над науково-методичним проектом «Створення в єдиному освітньому просторі школи умов для реалізації концептуальних засад реформування середньої освіти нової української школи на інноваційній основі» відповідно до обласного науково-методичного проекту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На виконання Законів України “Про освіту”, “Про загальну середню освіту”, Інструкції з обліку дітей та підлітків шкільного віку,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доступну, безоплатну і якісну освіту, отримання молоддю повної загальної середньої освіти. Заклад освіти здійснював свою діяльність відповідно до Статуту, який відповідає сучасним нормативно-правовим документам, що регламентують діяльність загальноосвітніх закладів.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Методична робота педагогічного колективу була спрямована на створення оптимальних умов для підвищення професійної майстерності вчителів, передбачала систематичну колективну та індивідуальну діяльність, яка сприяла підвищенню рівня методичної і фахової компетентності педагогічних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працівників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, впровадження в практику досягнень педагогічної науки, інноваційних освітніх технологій, передового досвіду, а саме:</w:t>
      </w:r>
    </w:p>
    <w:p w:rsidR="00FC58BB" w:rsidRPr="00D4539C" w:rsidRDefault="00FC58BB" w:rsidP="00FC58BB">
      <w:pPr>
        <w:numPr>
          <w:ilvl w:val="0"/>
          <w:numId w:val="1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створення умов для розвитку інноваційної діяльності,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стандартів;</w:t>
      </w:r>
    </w:p>
    <w:p w:rsidR="00FC58BB" w:rsidRPr="00D4539C" w:rsidRDefault="00FC58BB" w:rsidP="00FC58BB">
      <w:pPr>
        <w:numPr>
          <w:ilvl w:val="0"/>
          <w:numId w:val="1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оновлення освітнього процесу шляхом активного впровадження інноваційних технологій та поглиблення науково-теоретичної роботи;</w:t>
      </w:r>
    </w:p>
    <w:p w:rsidR="00FC58BB" w:rsidRPr="00D4539C" w:rsidRDefault="00FC58BB" w:rsidP="00FC58BB">
      <w:pPr>
        <w:numPr>
          <w:ilvl w:val="0"/>
          <w:numId w:val="1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підвищення професійної компетентності вчителів;</w:t>
      </w:r>
    </w:p>
    <w:p w:rsidR="00FC58BB" w:rsidRPr="00D4539C" w:rsidRDefault="00FC58BB" w:rsidP="00FC58BB">
      <w:pPr>
        <w:numPr>
          <w:ilvl w:val="0"/>
          <w:numId w:val="1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інформаційне забезпечення педагогічних працівників з питань педагогіки, психології, фахових дисциплін, оволодіння технологіями пошуку і опрацювання необхідної інформації в Інтернеті   та залучення учителів до використання інформаційних ресурсів;</w:t>
      </w:r>
    </w:p>
    <w:p w:rsidR="00FC58BB" w:rsidRPr="00D4539C" w:rsidRDefault="00FC58BB" w:rsidP="00FC58BB">
      <w:pPr>
        <w:numPr>
          <w:ilvl w:val="0"/>
          <w:numId w:val="1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 Робота над єдиною методичною темою підняла на більш високий рівень теоретичну підготовку кожного вчителя, надала чіткості, цілеспрямованості практичним заходам з різними категоріями вчителів, активізувала форми методичної роботи.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У 2023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 основними формами методичної робот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з педагогічними працівниками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були: педагогічна рада, методична рада,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професійні спільноти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вчителів-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предметників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професійна спільнота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класних керівників, 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інструктивно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-методичні наради, науково-практичні, методичні студії, методичні 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івенти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, курси підвищення кваліфікації, атестація, самоосвіта.</w:t>
      </w:r>
    </w:p>
    <w:p w:rsidR="00FC58BB" w:rsidRPr="00D4539C" w:rsidRDefault="00FC58BB" w:rsidP="00FC58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Пріор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итетні напрямки діяльності ліцею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реалізовувались шляхом впровадження сучасних інноваційних технологій, методики активного і інтерактивного навчання і виховання учнів, </w:t>
      </w:r>
      <w:proofErr w:type="spellStart"/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компетентнісного</w:t>
      </w:r>
      <w:proofErr w:type="spellEnd"/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підходу до навчання школярів. Значна увага приділялась підвищенню якості навчання і виховання учнів, підвищення професійної майстерност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і педагогічних працівників ліцею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, організації роботи з обдарованими та здібними учнями, здійснення моніторингу якості освіти у закладі.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Всі напрямки освітнього процесу координувала 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методична рада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у такому складі:</w:t>
      </w:r>
    </w:p>
    <w:p w:rsidR="00FC58BB" w:rsidRPr="00D4539C" w:rsidRDefault="00FC58BB" w:rsidP="00FC58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Лисуненко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Н.В..– голова методичної ради</w:t>
      </w:r>
    </w:p>
    <w:p w:rsidR="00FC58BB" w:rsidRPr="00D4539C" w:rsidRDefault="00FC58BB" w:rsidP="00FC58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Тимошенко Т.І.– заступник голови методичної ради</w:t>
      </w:r>
    </w:p>
    <w:p w:rsidR="00FC58BB" w:rsidRPr="00D4539C" w:rsidRDefault="00FC58BB" w:rsidP="00FC58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Назарук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В.І. – член методичної ради </w:t>
      </w:r>
    </w:p>
    <w:p w:rsidR="00FC58BB" w:rsidRPr="00D4539C" w:rsidRDefault="00FC58BB" w:rsidP="00FC58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Дінець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І.М. – член методичної ради </w:t>
      </w:r>
    </w:p>
    <w:p w:rsidR="00FC58BB" w:rsidRPr="00D4539C" w:rsidRDefault="00FC58BB" w:rsidP="00FC58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Гаращенко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О.М. – член методичної ради </w:t>
      </w:r>
    </w:p>
    <w:p w:rsidR="00FC58BB" w:rsidRPr="00D4539C" w:rsidRDefault="00FC58BB" w:rsidP="00FC58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Сидоренко Л.М. – член методичної ради </w:t>
      </w:r>
    </w:p>
    <w:p w:rsidR="00FC58BB" w:rsidRPr="00D4539C" w:rsidRDefault="00FC58BB" w:rsidP="00FC58B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360" w:firstLine="77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Аксьонова Т.Ю. – член методичної ради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Упродовж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в 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працювали такі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професійні спільноти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C58BB" w:rsidRPr="00D4539C" w:rsidRDefault="00FC58BB" w:rsidP="00FC58BB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Учителів предметів 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гуманітарно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 естетичного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циклу (керівник Сидоренко Л.М.)</w:t>
      </w:r>
    </w:p>
    <w:p w:rsidR="00FC58BB" w:rsidRPr="00D4539C" w:rsidRDefault="00FC58BB" w:rsidP="00FC58BB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Учителів предметів природничо-математичного циклу (керівник</w:t>
      </w:r>
    </w:p>
    <w:p w:rsidR="00FC58BB" w:rsidRPr="00D4539C" w:rsidRDefault="00FC58BB" w:rsidP="00FC58BB">
      <w:pPr>
        <w:tabs>
          <w:tab w:val="left" w:pos="720"/>
        </w:tabs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Гаращенко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О.М.)</w:t>
      </w:r>
    </w:p>
    <w:p w:rsidR="00FC58BB" w:rsidRPr="00D4539C" w:rsidRDefault="00FC58BB" w:rsidP="00FC58BB">
      <w:pPr>
        <w:tabs>
          <w:tab w:val="num" w:pos="360"/>
          <w:tab w:val="left" w:pos="720"/>
        </w:tabs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3.Учителів початкових класів (керівник 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Назарук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В.І.)</w:t>
      </w:r>
    </w:p>
    <w:p w:rsidR="00FC58BB" w:rsidRPr="00D4539C" w:rsidRDefault="00FC58BB" w:rsidP="00FC58BB">
      <w:pPr>
        <w:tabs>
          <w:tab w:val="num" w:pos="360"/>
          <w:tab w:val="left" w:pos="720"/>
        </w:tabs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     4. Класних керівників (керівник 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Дінець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І.М.)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Професійні спільноти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відігравали головну роль в реалізації головних завдань  та методичної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проблеми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. На засіданнях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професійних спільнот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обговорювались питання результатів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НМТ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контрольних робіт учнів, надавалась методична допомога педагогам, що атестуються тощо. На заключних підсумкових засіданнях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професійних спільнот 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зроблений аналіз їх роботи за рік, складені проекти планів роботи на наступний навчальний рік. </w:t>
      </w:r>
    </w:p>
    <w:p w:rsidR="00FC58BB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Традиційно  в 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проходить фестиваль педагогічної майстерності вчителів, де педагоги діляться досвідом своєї роботи, запозич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ють методичні 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цікавинки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у коле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Упродовж листопада – лютого 2022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 були проведені такі відкриті 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уроки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та виховні заходи: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1051" w:type="dxa"/>
        <w:tblInd w:w="-856" w:type="dxa"/>
        <w:tblLook w:val="04A0" w:firstRow="1" w:lastRow="0" w:firstColumn="1" w:lastColumn="0" w:noHBand="0" w:noVBand="1"/>
      </w:tblPr>
      <w:tblGrid>
        <w:gridCol w:w="445"/>
        <w:gridCol w:w="1802"/>
        <w:gridCol w:w="1841"/>
        <w:gridCol w:w="1858"/>
        <w:gridCol w:w="1833"/>
        <w:gridCol w:w="1829"/>
        <w:gridCol w:w="1443"/>
      </w:tblGrid>
      <w:tr w:rsidR="00FC58BB" w:rsidRPr="007D2D21" w:rsidTr="00983B62">
        <w:tc>
          <w:tcPr>
            <w:tcW w:w="445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02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ПІП</w:t>
            </w:r>
          </w:p>
        </w:tc>
        <w:tc>
          <w:tcPr>
            <w:tcW w:w="1841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1858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</w:t>
            </w:r>
          </w:p>
        </w:tc>
        <w:tc>
          <w:tcPr>
            <w:tcW w:w="1833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29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січень</w:t>
            </w:r>
            <w:proofErr w:type="spellEnd"/>
          </w:p>
        </w:tc>
        <w:tc>
          <w:tcPr>
            <w:tcW w:w="1443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лютий</w:t>
            </w:r>
            <w:proofErr w:type="spellEnd"/>
          </w:p>
        </w:tc>
      </w:tr>
      <w:tr w:rsidR="00FC58BB" w:rsidRPr="007D2D21" w:rsidTr="00983B62">
        <w:tc>
          <w:tcPr>
            <w:tcW w:w="445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 w:rsidRPr="007D2D21">
              <w:rPr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</w:t>
            </w: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</w:t>
            </w:r>
            <w:proofErr w:type="spellStart"/>
            <w:r>
              <w:rPr>
                <w:sz w:val="24"/>
                <w:szCs w:val="24"/>
              </w:rPr>
              <w:t>Володимирівна</w:t>
            </w:r>
            <w:proofErr w:type="spellEnd"/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Літературне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читання</w:t>
            </w:r>
            <w:proofErr w:type="spellEnd"/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Українська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ЯДС</w:t>
            </w:r>
          </w:p>
        </w:tc>
        <w:tc>
          <w:tcPr>
            <w:tcW w:w="1858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Немає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мудріших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ніж</w:t>
            </w:r>
            <w:proofErr w:type="spellEnd"/>
            <w:r>
              <w:rPr>
                <w:sz w:val="24"/>
                <w:szCs w:val="24"/>
              </w:rPr>
              <w:t xml:space="preserve"> народ, </w:t>
            </w:r>
            <w:proofErr w:type="spellStart"/>
            <w:r>
              <w:rPr>
                <w:sz w:val="24"/>
                <w:szCs w:val="24"/>
              </w:rPr>
              <w:t>учителів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3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Ознайомлення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площею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фігури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Відмінювання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прикметників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множині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3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Поспішайте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робити</w:t>
            </w:r>
            <w:proofErr w:type="spellEnd"/>
            <w:r>
              <w:rPr>
                <w:sz w:val="24"/>
                <w:szCs w:val="24"/>
              </w:rPr>
              <w:t xml:space="preserve"> добро</w:t>
            </w:r>
          </w:p>
        </w:tc>
      </w:tr>
      <w:tr w:rsidR="00FC58BB" w:rsidRPr="007D2D21" w:rsidTr="00983B62">
        <w:tc>
          <w:tcPr>
            <w:tcW w:w="445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 w:rsidRPr="007D2D21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Назарук</w:t>
            </w:r>
            <w:proofErr w:type="spellEnd"/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Валентина </w:t>
            </w:r>
            <w:proofErr w:type="spellStart"/>
            <w:r>
              <w:rPr>
                <w:sz w:val="24"/>
                <w:szCs w:val="24"/>
              </w:rPr>
              <w:t>Іванівна</w:t>
            </w:r>
            <w:proofErr w:type="spellEnd"/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Виховний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захід</w:t>
            </w:r>
            <w:proofErr w:type="spellEnd"/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грамоти</w:t>
            </w:r>
            <w:proofErr w:type="spellEnd"/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досліджую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1858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Число і цифра 0. </w:t>
            </w:r>
            <w:proofErr w:type="spellStart"/>
            <w:r>
              <w:rPr>
                <w:sz w:val="24"/>
                <w:szCs w:val="24"/>
              </w:rPr>
              <w:t>Дії</w:t>
            </w:r>
            <w:proofErr w:type="spellEnd"/>
            <w:r>
              <w:rPr>
                <w:sz w:val="24"/>
                <w:szCs w:val="24"/>
              </w:rPr>
              <w:t xml:space="preserve"> з нулем. </w:t>
            </w:r>
            <w:proofErr w:type="spellStart"/>
            <w:r>
              <w:rPr>
                <w:sz w:val="24"/>
                <w:szCs w:val="24"/>
              </w:rPr>
              <w:t>Складання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обчислення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виразів</w:t>
            </w:r>
            <w:proofErr w:type="spellEnd"/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Розважальна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lastRenderedPageBreak/>
              <w:t>Новорічні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пригоди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Закріплення</w:t>
            </w:r>
            <w:proofErr w:type="spellEnd"/>
            <w:r>
              <w:rPr>
                <w:sz w:val="24"/>
                <w:szCs w:val="24"/>
              </w:rPr>
              <w:t xml:space="preserve"> звукового </w:t>
            </w:r>
            <w:proofErr w:type="spellStart"/>
            <w:r>
              <w:rPr>
                <w:sz w:val="24"/>
                <w:szCs w:val="24"/>
              </w:rPr>
              <w:t>значення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вивчених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літер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Читання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слів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речень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Складання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розповіді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ілюстраціями</w:t>
            </w:r>
            <w:proofErr w:type="spellEnd"/>
          </w:p>
        </w:tc>
        <w:tc>
          <w:tcPr>
            <w:tcW w:w="1443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Дбаю</w:t>
            </w:r>
            <w:proofErr w:type="spellEnd"/>
            <w:r>
              <w:rPr>
                <w:sz w:val="24"/>
                <w:szCs w:val="24"/>
              </w:rPr>
              <w:t xml:space="preserve"> про свою </w:t>
            </w:r>
            <w:proofErr w:type="spellStart"/>
            <w:r>
              <w:rPr>
                <w:sz w:val="24"/>
                <w:szCs w:val="24"/>
              </w:rPr>
              <w:t>безпеку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Виховна</w:t>
            </w:r>
            <w:proofErr w:type="spellEnd"/>
            <w:r>
              <w:rPr>
                <w:sz w:val="24"/>
                <w:szCs w:val="24"/>
              </w:rPr>
              <w:t xml:space="preserve"> мета </w:t>
            </w:r>
            <w:proofErr w:type="spellStart"/>
            <w:r>
              <w:rPr>
                <w:sz w:val="24"/>
                <w:szCs w:val="24"/>
              </w:rPr>
              <w:t>казок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58BB" w:rsidRPr="007D2D21" w:rsidTr="00983B62">
        <w:tc>
          <w:tcPr>
            <w:tcW w:w="445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 w:rsidRPr="007D2D2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02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Лісняк</w:t>
            </w:r>
            <w:proofErr w:type="spellEnd"/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Діна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Іванівна</w:t>
            </w:r>
            <w:proofErr w:type="spellEnd"/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Українська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мова</w:t>
            </w:r>
            <w:proofErr w:type="spellEnd"/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proofErr w:type="spellStart"/>
            <w:r>
              <w:rPr>
                <w:sz w:val="24"/>
                <w:szCs w:val="24"/>
              </w:rPr>
              <w:t>досліджую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світ</w:t>
            </w:r>
            <w:proofErr w:type="spellEnd"/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1858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Однозначні</w:t>
            </w:r>
            <w:proofErr w:type="spellEnd"/>
            <w:r>
              <w:rPr>
                <w:sz w:val="24"/>
                <w:szCs w:val="24"/>
              </w:rPr>
              <w:t xml:space="preserve"> й </w:t>
            </w:r>
            <w:proofErr w:type="spellStart"/>
            <w:r>
              <w:rPr>
                <w:sz w:val="24"/>
                <w:szCs w:val="24"/>
              </w:rPr>
              <w:t>багатозначні</w:t>
            </w:r>
            <w:proofErr w:type="spellEnd"/>
            <w:r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1833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Конус. </w:t>
            </w:r>
            <w:proofErr w:type="spellStart"/>
            <w:r>
              <w:rPr>
                <w:sz w:val="24"/>
                <w:szCs w:val="24"/>
              </w:rPr>
              <w:t>Трикутник</w:t>
            </w:r>
            <w:proofErr w:type="spellEnd"/>
            <w:r>
              <w:rPr>
                <w:sz w:val="24"/>
                <w:szCs w:val="24"/>
              </w:rPr>
              <w:t>. Периметр.</w:t>
            </w:r>
          </w:p>
        </w:tc>
        <w:tc>
          <w:tcPr>
            <w:tcW w:w="1829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 </w:t>
            </w:r>
            <w:proofErr w:type="spellStart"/>
            <w:r>
              <w:rPr>
                <w:sz w:val="24"/>
                <w:szCs w:val="24"/>
              </w:rPr>
              <w:t>берегти</w:t>
            </w:r>
            <w:proofErr w:type="spellEnd"/>
            <w:r>
              <w:rPr>
                <w:sz w:val="24"/>
                <w:szCs w:val="24"/>
              </w:rPr>
              <w:t xml:space="preserve"> воду? </w:t>
            </w:r>
            <w:proofErr w:type="spellStart"/>
            <w:r>
              <w:rPr>
                <w:sz w:val="24"/>
                <w:szCs w:val="24"/>
              </w:rPr>
              <w:t>Кругообіг</w:t>
            </w:r>
            <w:proofErr w:type="spellEnd"/>
            <w:r>
              <w:rPr>
                <w:sz w:val="24"/>
                <w:szCs w:val="24"/>
              </w:rPr>
              <w:t xml:space="preserve"> води в </w:t>
            </w:r>
            <w:proofErr w:type="spellStart"/>
            <w:r>
              <w:rPr>
                <w:sz w:val="24"/>
                <w:szCs w:val="24"/>
              </w:rPr>
              <w:t>природі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Оповідання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Снігова</w:t>
            </w:r>
            <w:proofErr w:type="spellEnd"/>
            <w:r>
              <w:rPr>
                <w:sz w:val="24"/>
                <w:szCs w:val="24"/>
              </w:rPr>
              <w:t xml:space="preserve"> баба і </w:t>
            </w:r>
            <w:r>
              <w:rPr>
                <w:sz w:val="24"/>
                <w:szCs w:val="24"/>
              </w:rPr>
              <w:lastRenderedPageBreak/>
              <w:t xml:space="preserve">зайчик» за </w:t>
            </w:r>
            <w:proofErr w:type="spellStart"/>
            <w:r>
              <w:rPr>
                <w:sz w:val="24"/>
                <w:szCs w:val="24"/>
              </w:rPr>
              <w:t>П.Королем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C58BB" w:rsidRPr="007D2D21" w:rsidTr="00983B62">
        <w:tc>
          <w:tcPr>
            <w:tcW w:w="445" w:type="dxa"/>
          </w:tcPr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 w:rsidRPr="007D2D2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02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Сергій</w:t>
            </w:r>
            <w:proofErr w:type="spellEnd"/>
            <w:r>
              <w:rPr>
                <w:sz w:val="24"/>
                <w:szCs w:val="24"/>
              </w:rPr>
              <w:t xml:space="preserve"> Григорович</w:t>
            </w:r>
          </w:p>
        </w:tc>
        <w:tc>
          <w:tcPr>
            <w:tcW w:w="1841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Фізика</w:t>
            </w:r>
            <w:proofErr w:type="spellEnd"/>
            <w:r>
              <w:rPr>
                <w:sz w:val="24"/>
                <w:szCs w:val="24"/>
              </w:rPr>
              <w:t>(9клас)</w:t>
            </w: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ind w:left="-113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здоров’я</w:t>
            </w:r>
            <w:proofErr w:type="spellEnd"/>
          </w:p>
          <w:p w:rsidR="00FC58BB" w:rsidRDefault="00FC58BB" w:rsidP="00983B62">
            <w:pPr>
              <w:ind w:left="-113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(8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FC58BB" w:rsidRDefault="00FC58BB" w:rsidP="00983B62">
            <w:pPr>
              <w:ind w:left="-113" w:right="-113"/>
              <w:rPr>
                <w:sz w:val="24"/>
                <w:szCs w:val="24"/>
              </w:rPr>
            </w:pPr>
          </w:p>
          <w:p w:rsidR="00FC58BB" w:rsidRDefault="00FC58BB" w:rsidP="00983B62">
            <w:pPr>
              <w:ind w:left="-113" w:right="-113"/>
              <w:rPr>
                <w:sz w:val="24"/>
                <w:szCs w:val="24"/>
              </w:rPr>
            </w:pPr>
          </w:p>
          <w:p w:rsidR="00FC58BB" w:rsidRDefault="00FC58BB" w:rsidP="00983B62">
            <w:pPr>
              <w:ind w:left="-113" w:right="-113"/>
              <w:rPr>
                <w:sz w:val="24"/>
                <w:szCs w:val="24"/>
              </w:rPr>
            </w:pPr>
          </w:p>
          <w:p w:rsidR="00FC58BB" w:rsidRDefault="00FC58BB" w:rsidP="00983B62">
            <w:pPr>
              <w:ind w:left="-113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Трудове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>(7клас)</w:t>
            </w:r>
          </w:p>
          <w:p w:rsidR="00FC58BB" w:rsidRDefault="00FC58BB" w:rsidP="00983B62">
            <w:pPr>
              <w:ind w:left="-113" w:right="-113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ind w:left="-113" w:right="-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Етика</w:t>
            </w:r>
            <w:proofErr w:type="spellEnd"/>
            <w:r>
              <w:rPr>
                <w:sz w:val="24"/>
                <w:szCs w:val="24"/>
              </w:rPr>
              <w:t xml:space="preserve"> (5клас)</w:t>
            </w:r>
          </w:p>
        </w:tc>
        <w:tc>
          <w:tcPr>
            <w:tcW w:w="1858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Лінзи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Оптична</w:t>
            </w:r>
            <w:proofErr w:type="spellEnd"/>
            <w:r>
              <w:rPr>
                <w:sz w:val="24"/>
                <w:szCs w:val="24"/>
              </w:rPr>
              <w:t xml:space="preserve"> сила </w:t>
            </w:r>
            <w:proofErr w:type="spellStart"/>
            <w:r>
              <w:rPr>
                <w:sz w:val="24"/>
                <w:szCs w:val="24"/>
              </w:rPr>
              <w:t>лінзи</w:t>
            </w:r>
            <w:proofErr w:type="spellEnd"/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Ідеали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краси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здоров’я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Вплив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тенденцій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1829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Пиломатеріали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Властивості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деревини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43" w:type="dxa"/>
          </w:tcPr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Default="00FC58BB" w:rsidP="00983B62">
            <w:pPr>
              <w:jc w:val="center"/>
              <w:rPr>
                <w:sz w:val="24"/>
                <w:szCs w:val="24"/>
              </w:rPr>
            </w:pPr>
          </w:p>
          <w:p w:rsidR="00FC58BB" w:rsidRPr="007D2D21" w:rsidRDefault="00FC58BB" w:rsidP="00983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</w:t>
            </w:r>
            <w:proofErr w:type="spellStart"/>
            <w:r>
              <w:rPr>
                <w:sz w:val="24"/>
                <w:szCs w:val="24"/>
              </w:rPr>
              <w:t>чеснот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житті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людини</w:t>
            </w:r>
            <w:proofErr w:type="spellEnd"/>
          </w:p>
        </w:tc>
      </w:tr>
    </w:tbl>
    <w:p w:rsidR="00FC58BB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Участь у таких заходах дає можливість вчителеві професійного зростання та самовдосконалення, підвищує рівень самооцінки педагогів та мотивації до роботи. 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Дані форми методичної роботи створюють і забезпечують оптимальні умови для традиційних і нетрадиційних форм обміну досвідом роботи учителів, що сприяє самовираженню особистості вчителя, розкриттю її природних нахилів, застосуванню на практиці інноваційних освітніх технологій, знайомству з прогресивним педагогічним досвідом. Для підвищення якості роботи мето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дичний кабінет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тісно співпрацює з методичним кабінетом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управління 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освіти, де отримує необхідну допомогу щодо організації методичної роботи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освітньої діяльності в 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 та фахового рівня вчителів.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За цей навчальний рік повністю реалізований 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план проходження учителями курсів підвищення кваліфікації при комунальному закладі вищої освіти «Дніпровська академія неперервної освіти»:</w:t>
      </w:r>
    </w:p>
    <w:p w:rsidR="00FC58BB" w:rsidRPr="00D4539C" w:rsidRDefault="00FC58BB" w:rsidP="00FC58B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Здійснювалось планове проходження курсів підвищення кваліфікації педагогічних працівників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8BB" w:rsidRPr="00D4539C" w:rsidRDefault="00FC58BB" w:rsidP="00FC58BB">
      <w:pPr>
        <w:tabs>
          <w:tab w:val="left" w:pos="690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Реалізований 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план проходження педагогічними працівниками атестації.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Було атестовано таких педагогічних працівників:</w:t>
      </w:r>
    </w:p>
    <w:p w:rsidR="00FC58BB" w:rsidRPr="00D4539C" w:rsidRDefault="00FC58BB" w:rsidP="00FC58BB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Жук Валентина Іванівна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читель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початкових класі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відповідає раніше присвоєній кваліфікаційній категорії «спеціаліст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вищої категорії», та присвоєно  педагогічне звання «старший вчитель»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Лісняк Діна Іванівна</w:t>
      </w:r>
      <w:r w:rsidRPr="00D45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початкових класів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присвоєно кваліфікаційну категорію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«спеціаліст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вищої категорії» ;</w:t>
      </w:r>
    </w:p>
    <w:p w:rsidR="00FC58BB" w:rsidRDefault="00FC58BB" w:rsidP="00FC58B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3.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Серга Сергій Григорович</w:t>
      </w:r>
      <w:r w:rsidRPr="00D45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вчитель фізики, трудового навчання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присвоєно кваліфікаційну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категорії «спеціаліст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вищої категорії» </w:t>
      </w:r>
      <w:r w:rsidRPr="00F82FAB">
        <w:rPr>
          <w:rFonts w:ascii="Times New Roman" w:eastAsia="Times New Roman" w:hAnsi="Times New Roman"/>
          <w:bCs/>
          <w:sz w:val="24"/>
          <w:szCs w:val="24"/>
          <w:lang w:eastAsia="ru-RU"/>
        </w:rPr>
        <w:t>та педагогічне звання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F82FAB">
        <w:rPr>
          <w:rFonts w:ascii="Times New Roman" w:eastAsia="Times New Roman" w:hAnsi="Times New Roman"/>
          <w:bCs/>
          <w:sz w:val="24"/>
          <w:szCs w:val="24"/>
          <w:lang w:eastAsia="ru-RU"/>
        </w:rPr>
        <w:t>тарший вчитель»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4.</w:t>
      </w:r>
      <w:r w:rsidRPr="00374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Назарук Валентина Іванівна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374F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початкових класів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присвоєно кваліфікаційну категорію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«спеціаліст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ІІ категорії» .</w:t>
      </w:r>
    </w:p>
    <w:p w:rsidR="00FC58BB" w:rsidRPr="005208FC" w:rsidRDefault="00FC58BB" w:rsidP="00FC58BB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FC58BB" w:rsidRPr="00B53718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ab/>
        <w:t>Результати атестації продемонстрували обізнаність вчителів в питаннях  чинного законодавства в галузі освіти, навчально-методичного забезпечення предмету, який викладається, ведення шкільної документації, психолого-педагогічної та методичної літератури, нових освітніх технологіях 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методиках  щодо організації освітнього процесу. Матеріали атестації узагальнені у вигляді портфоліо дос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ягнень педагогічних працівників.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Атестаційна комісія підготувала узагальнений висновок про педагогічну та методичну діяльність кожного вчителя, що атестувався, склала протоколи оцінювання системи і досвіду роботи. Підсумки атестаці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ї педагогічних працівників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у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 відображено у наказах  «Про підсумки атестації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педагогічних працівників у 2024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році» від </w:t>
      </w:r>
      <w:r w:rsidRPr="00B53718">
        <w:rPr>
          <w:rFonts w:ascii="Times New Roman" w:eastAsia="Times New Roman" w:hAnsi="Times New Roman"/>
          <w:sz w:val="24"/>
          <w:szCs w:val="24"/>
          <w:lang w:eastAsia="ru-RU"/>
        </w:rPr>
        <w:t>28.03.202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53718">
        <w:rPr>
          <w:rFonts w:ascii="Times New Roman" w:eastAsia="Times New Roman" w:hAnsi="Times New Roman"/>
          <w:sz w:val="24"/>
          <w:szCs w:val="24"/>
          <w:lang w:eastAsia="ru-RU"/>
        </w:rPr>
        <w:t xml:space="preserve">  № 26-К/</w:t>
      </w:r>
      <w:proofErr w:type="spellStart"/>
      <w:r w:rsidRPr="00B53718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spellEnd"/>
      <w:r w:rsidRPr="00B53718">
        <w:rPr>
          <w:rFonts w:ascii="Times New Roman" w:eastAsia="Times New Roman" w:hAnsi="Times New Roman"/>
          <w:sz w:val="24"/>
          <w:szCs w:val="24"/>
          <w:lang w:eastAsia="ru-RU"/>
        </w:rPr>
        <w:t xml:space="preserve">  та №27-К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від 08.04.2024</w:t>
      </w:r>
      <w:r w:rsidRPr="00B537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8BB" w:rsidRPr="00D4539C" w:rsidRDefault="00FC58BB" w:rsidP="00FC58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склалася певна система роботи по проведенню 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предметних </w:t>
      </w:r>
      <w:proofErr w:type="spellStart"/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тижнів,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охоплюють позакласною роботою всіх учнів.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2023-2024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 були проведені предметні тижні: 1) Тиждень історії і правознавства, 2) Тиждень фізики, 3) Тиждень географії.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Всі матеріали тижнів зібрані в методичному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кабінеті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, а їх проведення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узагальнено наказами по 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Згі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дно з річним планом роботи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авчального року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проведені всі педради, малі педради, наради при директорові та його заступниках. 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Упродовж року в 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здійснювався моніторинговий підхід до якості навчальних досягнень учнів, взагалі всього освітнього процесу, а саме: моніторинг результатів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НМТ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, моніторинг діяльності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професійних спільнот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, моніторинг роботи з обдарованими учнями, моніторинг рівня знань, умінь та навичок учнів 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технологій, фізичної культури, української мови (1-4клас), мовленнєвий розвиток у дошкільному підрозділі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. Це давало змогу здійснювати порівняльний аналіз різних ділянок роботи, робити певні висновки і вживати необхідних заходів.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продовж навчального року в 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були створені необхідні умови для підвищення теоретичного професійного рівня кожного члена педагогічного колективу. Враховуючи науково-методичні проблеми педагогічного колективу 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професійних спільнот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, кожен вчитель обрав власну методичну проблему, над якою працював, впроваджуючи її в практику роботи та вдосконалюючи свою майстерність. Теоретичні роботи, конспекти відкритих уроків, позакласних заходів, кращі роботи учнів зібрані в індивідуальні портфоліо системи роботи вчителів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8BB" w:rsidRPr="00D4539C" w:rsidRDefault="00FC58BB" w:rsidP="00FC58BB">
      <w:pPr>
        <w:widowControl w:val="0"/>
        <w:tabs>
          <w:tab w:val="left" w:pos="567"/>
        </w:tabs>
        <w:autoSpaceDE w:val="0"/>
        <w:autoSpaceDN w:val="0"/>
        <w:spacing w:after="0" w:line="2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Значна увага приділялась оволодінню інноваційними формами та методами навчання, 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компетентнісному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підходу  до викладання навчальних предметів, вивченню та застосуванню нових навчальних планів, програм, підручників, посібників тощо, удосконаленню форм роботи по запровадженню нетрадиційних форм і методів організації освітнього процесу, новітніх освітніх технологій та передового педагогічного досвіду. </w:t>
      </w:r>
    </w:p>
    <w:p w:rsidR="00FC58BB" w:rsidRPr="00D4539C" w:rsidRDefault="00FC58BB" w:rsidP="00FC58BB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В  умовах пов’язаних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 бойовими діями на території держави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, учителі освоїли і успішно застосовували засоби дистанційного навчання 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платформу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Eddi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месенджери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39C">
        <w:rPr>
          <w:rFonts w:ascii="Times New Roman" w:eastAsia="Times New Roman" w:hAnsi="Times New Roman"/>
          <w:sz w:val="24"/>
          <w:szCs w:val="24"/>
          <w:lang w:val="en-US" w:eastAsia="ru-RU"/>
        </w:rPr>
        <w:t>Viber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4539C">
        <w:rPr>
          <w:rFonts w:ascii="Times New Roman" w:eastAsia="Times New Roman" w:hAnsi="Times New Roman"/>
          <w:sz w:val="24"/>
          <w:szCs w:val="24"/>
          <w:lang w:val="en-US" w:eastAsia="ru-RU"/>
        </w:rPr>
        <w:t>Telegram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, онлайн-платформи </w:t>
      </w:r>
      <w:r w:rsidRPr="00D4539C">
        <w:rPr>
          <w:rFonts w:ascii="Times New Roman" w:eastAsia="Times New Roman" w:hAnsi="Times New Roman"/>
          <w:sz w:val="24"/>
          <w:szCs w:val="24"/>
          <w:lang w:val="en-US" w:eastAsia="ru-RU"/>
        </w:rPr>
        <w:t>Google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39C">
        <w:rPr>
          <w:rFonts w:ascii="Times New Roman" w:eastAsia="Times New Roman" w:hAnsi="Times New Roman"/>
          <w:sz w:val="24"/>
          <w:szCs w:val="24"/>
          <w:lang w:val="en-US" w:eastAsia="ru-RU"/>
        </w:rPr>
        <w:t>Classroom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Meet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«На урок», «</w:t>
      </w:r>
      <w:proofErr w:type="spellStart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Всеосвіта</w:t>
      </w:r>
      <w:proofErr w:type="spellEnd"/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» тощо). Це дало можливість успішно виконати всі навчальні програми у повному обсязі.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 та фахового рівня вчителів. 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У зв’язку з практичною спрямованістю навчання продовжено роботу щодо оснащення необхідним сучасним обладнанням та навчально-методичним забезпеч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енням навчальних кабінетів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58BB" w:rsidRPr="00D4539C" w:rsidRDefault="00FC58BB" w:rsidP="00FC58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Дирекція ліцею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педагогічний колектив постійно працюють над більш досконалим володінням інформаційно-комунікаційними технологіями, широко використовують в своїй 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роботі можливості всесвітньої мережі ІНТЕРНЕТ (матеріали офіційних сайтів Міністерства освіти і науки України, Департаменту науки і освіти  Дніпропетровської обласної державної адміністрації, КЗВО «Дніпровська академія непере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вної освіти», управління освіти, молоді та спорту Петриківської селищної ради тощо). З 2016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року ліцей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має свій сайт, де висвітлюються досягнення педагогічного та учнівського колективу 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проблеми розвитку освіти в ліцеї</w:t>
      </w:r>
      <w:r w:rsidRPr="00D4539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C58BB" w:rsidRPr="00D4539C" w:rsidRDefault="00FC58BB" w:rsidP="00FC58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ab/>
        <w:t>Аналіз стану методичної роботи у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навчальному році в 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дає підставу вважати, що процес реалізації педагогічним колективом загальношкільної методичної проблеми здійснювався на належному науково-теоретичному та методичному рівні. Проте є ще важливі питання, на розв’язання яких мають бути спрямовані зусилля педагогічного колективу в наступному навчальному році.</w:t>
      </w:r>
    </w:p>
    <w:p w:rsidR="00FC58BB" w:rsidRPr="00D4539C" w:rsidRDefault="00FC58BB" w:rsidP="00FC58BB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 Підводячи пі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дсумки методичної роботи в 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, слід зазначити, що вона сприяла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реалізації проблемної теми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і поставлених завдань перед колективом 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рік, професійному зростанню педагогів, підвищенню якості знань, умінь та навичок учнів, активізації роботи з обдарованими дітьми та тими, хто потребував постійн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 уваги і контролю з боку навчального закладу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, громадськості.</w:t>
      </w:r>
    </w:p>
    <w:p w:rsidR="00FC58BB" w:rsidRPr="00D4539C" w:rsidRDefault="00FC58BB" w:rsidP="00FC58BB">
      <w:pPr>
        <w:spacing w:after="12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наступному 2024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 слід:</w:t>
      </w:r>
    </w:p>
    <w:p w:rsidR="00FC58BB" w:rsidRPr="00D4539C" w:rsidRDefault="00FC58BB" w:rsidP="00FC58BB">
      <w:pPr>
        <w:numPr>
          <w:ilvl w:val="0"/>
          <w:numId w:val="4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Освітній процес спрямувати 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підвищення рівня знань, умінь та навичок учнів шляхом посилення індивідуалізації та диференціації освітньої діяльності, свідомого вмотивованого ставлення до навчання кожного учня, </w:t>
      </w:r>
      <w:r w:rsidRPr="00D453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роботу з обдарованими дітьми ( в тому числі дистанційно);</w:t>
      </w:r>
    </w:p>
    <w:p w:rsidR="00FC58BB" w:rsidRPr="00D4539C" w:rsidRDefault="00FC58BB" w:rsidP="00FC58BB">
      <w:pPr>
        <w:numPr>
          <w:ilvl w:val="0"/>
          <w:numId w:val="4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рацювати в напрямку забезпечення наступності між початковою, основною та старшою школою, враховуючи психологічні особливості та рівень пізнавальної діяльності учнів різних вікових груп, враховуючи вимоги Державних стандартів початкової і базової та повної загальної середньої освіти;</w:t>
      </w:r>
    </w:p>
    <w:p w:rsidR="00FC58BB" w:rsidRPr="00D4539C" w:rsidRDefault="00FC58BB" w:rsidP="00FC58BB">
      <w:pPr>
        <w:numPr>
          <w:ilvl w:val="0"/>
          <w:numId w:val="4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Створити належні умови для поступової адаптації учнів 1-4-х класів до навчання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ліцеї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І ступеню (НУШ), учнів 5-х класів до навчання у школі ІІ ступеню та учнів 10-х класів – у школі ІІІ ступеню;</w:t>
      </w:r>
    </w:p>
    <w:p w:rsidR="00FC58BB" w:rsidRPr="00D4539C" w:rsidRDefault="00FC58BB" w:rsidP="00FC58BB">
      <w:pPr>
        <w:numPr>
          <w:ilvl w:val="0"/>
          <w:numId w:val="4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Вдосконалювати організаційно-методичну роботу з підготовки та участі  випускників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в ДПА, ЗНО спрямувавши її на високий результат;</w:t>
      </w:r>
    </w:p>
    <w:p w:rsidR="00FC58BB" w:rsidRPr="00D4539C" w:rsidRDefault="00FC58BB" w:rsidP="00FC58BB">
      <w:pPr>
        <w:numPr>
          <w:ilvl w:val="0"/>
          <w:numId w:val="4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Працювати в напрямку підвищення рівня професійної майстерності та мобільності педагогічних працівників в умовах неперервної освіти;</w:t>
      </w:r>
    </w:p>
    <w:p w:rsidR="00FC58BB" w:rsidRPr="00D4539C" w:rsidRDefault="00FC58BB" w:rsidP="00FC58BB">
      <w:pPr>
        <w:numPr>
          <w:ilvl w:val="0"/>
          <w:numId w:val="4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Продовжити вивчення та узагальнення ефективного досвіду роботи вчителів, організувати роботу педагогів в рамках методичних студій;</w:t>
      </w:r>
    </w:p>
    <w:p w:rsidR="00FC58BB" w:rsidRPr="00D4539C" w:rsidRDefault="00FC58BB" w:rsidP="00FC58BB">
      <w:pPr>
        <w:numPr>
          <w:ilvl w:val="0"/>
          <w:numId w:val="4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Сприяти втіленню в практику роботи педколективу новітніх освітніх технологій, оволодівати інструментами дистанційного навчання;</w:t>
      </w:r>
    </w:p>
    <w:p w:rsidR="00FC58BB" w:rsidRPr="00D4539C" w:rsidRDefault="00FC58BB" w:rsidP="00FC58BB">
      <w:pPr>
        <w:numPr>
          <w:ilvl w:val="0"/>
          <w:numId w:val="4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етодкабінету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ліцею</w:t>
      </w: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продовжити створення банку освітніх технологій, прогресивного педагогічного досвіду.</w:t>
      </w:r>
    </w:p>
    <w:p w:rsidR="00FC58BB" w:rsidRPr="00D4539C" w:rsidRDefault="00FC58BB" w:rsidP="00FC58BB">
      <w:pPr>
        <w:numPr>
          <w:ilvl w:val="0"/>
          <w:numId w:val="4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39C">
        <w:rPr>
          <w:rFonts w:ascii="Times New Roman" w:eastAsia="Times New Roman" w:hAnsi="Times New Roman"/>
          <w:sz w:val="24"/>
          <w:szCs w:val="24"/>
          <w:lang w:eastAsia="ru-RU"/>
        </w:rPr>
        <w:t>Продовжити роботу з моніторингу якості освіти, що сприяє результативності роботи педколективу.</w:t>
      </w:r>
    </w:p>
    <w:p w:rsidR="00FC58BB" w:rsidRPr="00D4539C" w:rsidRDefault="00FC58BB" w:rsidP="00FC58BB">
      <w:pPr>
        <w:spacing w:after="0" w:line="240" w:lineRule="auto"/>
        <w:ind w:firstLine="567"/>
        <w:rPr>
          <w:rFonts w:ascii="Times New Roman" w:eastAsia="Times New Roman" w:hAnsi="Times New Roman"/>
          <w:b/>
          <w:color w:val="8496B0" w:themeColor="text2" w:themeTint="99"/>
          <w:sz w:val="24"/>
          <w:szCs w:val="24"/>
          <w:lang w:eastAsia="ru-RU"/>
        </w:rPr>
      </w:pPr>
    </w:p>
    <w:p w:rsidR="00A07728" w:rsidRDefault="00A07728">
      <w:bookmarkStart w:id="0" w:name="_GoBack"/>
      <w:bookmarkEnd w:id="0"/>
    </w:p>
    <w:sectPr w:rsidR="00A0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4B5D"/>
    <w:multiLevelType w:val="hybridMultilevel"/>
    <w:tmpl w:val="B3904312"/>
    <w:lvl w:ilvl="0" w:tplc="7CA069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  <w:lvl w:ilvl="1" w:tplc="C4B020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AE2BB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91220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D00A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06C1A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AF06E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C641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5FA30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 w15:restartNumberingAfterBreak="0">
    <w:nsid w:val="42881D6E"/>
    <w:multiLevelType w:val="hybridMultilevel"/>
    <w:tmpl w:val="98C65FEC"/>
    <w:lvl w:ilvl="0" w:tplc="6BEA8B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5296082E"/>
    <w:multiLevelType w:val="hybridMultilevel"/>
    <w:tmpl w:val="D6DC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B531A"/>
    <w:multiLevelType w:val="hybridMultilevel"/>
    <w:tmpl w:val="B3CAFC98"/>
    <w:lvl w:ilvl="0" w:tplc="01883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BB"/>
    <w:rsid w:val="00A07728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2BAA-6C0D-4294-B915-6AA4551D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9003</Words>
  <Characters>5132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1</cp:revision>
  <dcterms:created xsi:type="dcterms:W3CDTF">2024-05-27T06:56:00Z</dcterms:created>
  <dcterms:modified xsi:type="dcterms:W3CDTF">2024-05-27T06:57:00Z</dcterms:modified>
</cp:coreProperties>
</file>