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8" w:rsidRPr="00E765C8" w:rsidRDefault="00E765C8" w:rsidP="00E765C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kern w:val="36"/>
          <w:sz w:val="45"/>
          <w:szCs w:val="45"/>
          <w:lang w:val="uk-UA" w:eastAsia="ru-RU"/>
        </w:rPr>
      </w:pPr>
      <w:r w:rsidRPr="00E765C8">
        <w:rPr>
          <w:rFonts w:ascii="inherit" w:eastAsia="Times New Roman" w:hAnsi="inherit" w:cs="Arial"/>
          <w:kern w:val="36"/>
          <w:sz w:val="45"/>
          <w:lang w:eastAsia="ru-RU"/>
        </w:rPr>
        <w:t>.</w:t>
      </w:r>
      <w:r w:rsidRPr="00E765C8">
        <w:rPr>
          <w:rFonts w:ascii="inherit" w:eastAsia="Times New Roman" w:hAnsi="inherit" w:cs="Arial"/>
          <w:kern w:val="36"/>
          <w:sz w:val="45"/>
          <w:szCs w:val="45"/>
          <w:lang w:eastAsia="ru-RU"/>
        </w:rPr>
        <w:t> </w:t>
      </w:r>
      <w:r w:rsidRPr="00E765C8">
        <w:rPr>
          <w:rFonts w:ascii="inherit" w:eastAsia="Times New Roman" w:hAnsi="inherit" w:cs="Arial"/>
          <w:kern w:val="36"/>
          <w:sz w:val="45"/>
          <w:szCs w:val="45"/>
          <w:lang w:val="uk-UA" w:eastAsia="ru-RU"/>
        </w:rPr>
        <w:t>Тема</w:t>
      </w:r>
      <w:proofErr w:type="gramStart"/>
      <w:r w:rsidRPr="00E765C8">
        <w:rPr>
          <w:rFonts w:ascii="inherit" w:eastAsia="Times New Roman" w:hAnsi="inherit" w:cs="Arial"/>
          <w:kern w:val="36"/>
          <w:sz w:val="45"/>
          <w:szCs w:val="45"/>
          <w:lang w:val="uk-UA" w:eastAsia="ru-RU"/>
        </w:rPr>
        <w:t>:К</w:t>
      </w:r>
      <w:proofErr w:type="gramEnd"/>
      <w:r w:rsidRPr="00E765C8">
        <w:rPr>
          <w:rFonts w:ascii="inherit" w:eastAsia="Times New Roman" w:hAnsi="inherit" w:cs="Arial"/>
          <w:kern w:val="36"/>
          <w:sz w:val="45"/>
          <w:szCs w:val="45"/>
          <w:lang w:val="uk-UA" w:eastAsia="ru-RU"/>
        </w:rPr>
        <w:t>арбонові кислоти</w:t>
      </w:r>
    </w:p>
    <w:p w:rsidR="00E765C8" w:rsidRPr="00E765C8" w:rsidRDefault="00E765C8" w:rsidP="00E765C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kern w:val="36"/>
          <w:sz w:val="28"/>
          <w:szCs w:val="28"/>
          <w:lang w:eastAsia="ru-RU"/>
        </w:rPr>
      </w:pPr>
      <w:r w:rsidRPr="00E765C8">
        <w:rPr>
          <w:rFonts w:ascii="inherit" w:eastAsia="Times New Roman" w:hAnsi="inherit" w:cs="Arial"/>
          <w:kern w:val="36"/>
          <w:sz w:val="28"/>
          <w:szCs w:val="28"/>
          <w:lang w:eastAsia="ru-RU"/>
        </w:rPr>
        <w:t>Склад і будова карбонових кислот</w:t>
      </w:r>
    </w:p>
    <w:p w:rsidR="00E765C8" w:rsidRPr="00E765C8" w:rsidRDefault="00E765C8" w:rsidP="00E765C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sz w:val="28"/>
          <w:szCs w:val="28"/>
          <w:lang w:eastAsia="ru-RU"/>
        </w:rPr>
      </w:pPr>
      <w:r w:rsidRPr="00E765C8">
        <w:rPr>
          <w:rFonts w:ascii="inherit" w:eastAsia="Times New Roman" w:hAnsi="inherit" w:cs="Arial"/>
          <w:sz w:val="28"/>
          <w:szCs w:val="28"/>
          <w:lang w:eastAsia="ru-RU"/>
        </w:rPr>
        <w:t>Теорія: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Карбонові кислоти </w:t>
      </w:r>
      <w:r w:rsidRPr="00E765C8">
        <w:rPr>
          <w:rFonts w:ascii="Arial" w:eastAsia="Times New Roman" w:hAnsi="Arial" w:cs="Arial"/>
          <w:sz w:val="28"/>
          <w:szCs w:val="28"/>
          <w:lang w:eastAsia="ru-RU"/>
        </w:rPr>
        <w:t xml:space="preserve">добре знайомі </w:t>
      </w:r>
      <w:proofErr w:type="gramStart"/>
      <w:r w:rsidRPr="00E765C8">
        <w:rPr>
          <w:rFonts w:ascii="Arial" w:eastAsia="Times New Roman" w:hAnsi="Arial" w:cs="Arial"/>
          <w:sz w:val="28"/>
          <w:szCs w:val="28"/>
          <w:lang w:eastAsia="ru-RU"/>
        </w:rPr>
        <w:t>кожному</w:t>
      </w:r>
      <w:proofErr w:type="gramEnd"/>
      <w:r w:rsidRPr="00E765C8">
        <w:rPr>
          <w:rFonts w:ascii="Arial" w:eastAsia="Times New Roman" w:hAnsi="Arial" w:cs="Arial"/>
          <w:sz w:val="28"/>
          <w:szCs w:val="28"/>
          <w:lang w:eastAsia="ru-RU"/>
        </w:rPr>
        <w:t>. До них відноситься велика кількість природних сполук, що мають кислий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смак: лимонна, яблучна, щавлева, оцтова та інші кислоти, знайомі нам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продуктах харчування.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Карбонові кислоти — похідні вуглеводнів,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молекулах яких один або кілька атомів Гідрогену заміщені на карбоксильну групу 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Інше визначення: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Карбонові кислоти — органічні речовини, 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молекулах яких вуглеводневий радикал сполучений з карбоксильними групами.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Будова карбоксильної групи є наступною: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19200" cy="865632"/>
            <wp:effectExtent l="19050" t="0" r="0" b="0"/>
            <wp:docPr id="35" name="Рисунок 35" descr="carboxyl_group21320700006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rboxyl_group21320700006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Атом Карбону в ній утворює подвійний зв'язок з одним з атомі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Оксигену. Другий атом Оксигену сполучений з атомом Гідрогену в гідроксильну групу.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У загальному вигляді формулу будь-карбонової кислоти можна записати так: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R</w:t>
      </w:r>
      <w:r w:rsidRPr="00E765C8">
        <w:rPr>
          <w:rFonts w:ascii="MathJax_Main" w:eastAsia="Times New Roman" w:hAnsi="MathJax_Main" w:cs="Arial"/>
          <w:sz w:val="30"/>
          <w:lang w:eastAsia="ru-RU"/>
        </w:rPr>
        <w:t>(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MathJax_Main" w:eastAsia="Times New Roman" w:hAnsi="MathJax_Main" w:cs="Arial"/>
          <w:sz w:val="30"/>
          <w:lang w:eastAsia="ru-RU"/>
        </w:rPr>
        <w:t>)</w:t>
      </w:r>
      <w:r w:rsidRPr="00E765C8">
        <w:rPr>
          <w:rFonts w:ascii="MathJax_Math-italic" w:eastAsia="Times New Roman" w:hAnsi="MathJax_Math-italic" w:cs="Arial"/>
          <w:sz w:val="25"/>
          <w:lang w:eastAsia="ru-RU"/>
        </w:rPr>
        <w:t>n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де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R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— вуглеводневий радикал.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Залежно від будови вуглеводневого радикала карбонові кислоти можуть бути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насиченими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ненасиченими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ароматичними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тощо.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  <w:lang w:eastAsia="ru-RU"/>
        </w:rPr>
      </w:pPr>
      <w:r w:rsidRPr="00E765C8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Приклад: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насичена, ненасичена і ароматична карбонові кислоти: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3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оцтова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in" w:eastAsia="Times New Roman" w:hAnsi="MathJax_Main" w:cs="Arial"/>
          <w:sz w:val="30"/>
          <w:lang w:eastAsia="ru-RU"/>
        </w:rPr>
        <w:t>=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акрилова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6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5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бензойна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Число функціональних груп 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визначає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основність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кислот.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36"/>
          <w:szCs w:val="36"/>
          <w:lang w:eastAsia="ru-RU"/>
        </w:rPr>
      </w:pPr>
      <w:r w:rsidRPr="00E765C8">
        <w:rPr>
          <w:rFonts w:ascii="Arial" w:eastAsia="Times New Roman" w:hAnsi="Arial" w:cs="Arial"/>
          <w:i/>
          <w:iCs/>
          <w:sz w:val="36"/>
          <w:szCs w:val="36"/>
          <w:lang w:eastAsia="ru-RU"/>
        </w:rPr>
        <w:t>Приклад: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proofErr w:type="gramStart"/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одноосновна</w:t>
      </w:r>
      <w:proofErr w:type="gramEnd"/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і двохосновна карбонові кислоти: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3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пропанова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lastRenderedPageBreak/>
        <w:t>HOOC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щавелева кислота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Насиченими одноосновними карбоновими кислотами називають похідні алкані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молекулі яких один атом Гідрогену заміщений на карбоксильну групу.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Загальна формула насичених одноосновних кислот: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th-italic" w:eastAsia="Times New Roman" w:hAnsi="MathJax_Math-italic" w:cs="Arial"/>
          <w:sz w:val="25"/>
          <w:lang w:eastAsia="ru-RU"/>
        </w:rPr>
        <w:t>n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th-italic" w:eastAsia="Times New Roman" w:hAnsi="MathJax_Math-italic" w:cs="Arial"/>
          <w:sz w:val="25"/>
          <w:lang w:eastAsia="ru-RU"/>
        </w:rPr>
        <w:t>n</w:t>
      </w:r>
      <w:r w:rsidRPr="00E765C8">
        <w:rPr>
          <w:rFonts w:ascii="MathJax_Main" w:eastAsia="Times New Roman" w:hAnsi="MathJax_Main" w:cs="Arial"/>
          <w:sz w:val="25"/>
          <w:lang w:eastAsia="ru-RU"/>
        </w:rPr>
        <w:t>+1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чи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th-italic" w:eastAsia="Times New Roman" w:hAnsi="MathJax_Math-italic" w:cs="Arial"/>
          <w:sz w:val="25"/>
          <w:lang w:eastAsia="ru-RU"/>
        </w:rPr>
        <w:t>m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th-italic" w:eastAsia="Times New Roman" w:hAnsi="MathJax_Math-italic" w:cs="Arial"/>
          <w:sz w:val="25"/>
          <w:lang w:eastAsia="ru-RU"/>
        </w:rPr>
        <w:t>m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O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Група 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у міжнародних назвах кислот позначається суфіксом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-о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вая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який додається до назви алкана (враховуються всі атоми Карбону, включаючи атом Карбону функціональної групи). Використовуються також і інші назви кислот: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HCOOH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метанова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мурашина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) кислота,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3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етанова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оцтова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) кислота.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Гомологами мурашиної і оцтової кислот 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пальмітинова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31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стеаринова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кислоти. Вони входять до складу жирів, тому відносяться до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жирних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кислот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Ненасиченими карбоновими кислотами називають кислоти, у вуглеводневому радикалі яких містяться кратні зв'язки.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Прикладом ненасиченої карбонової кислоти може бути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олеї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нова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33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В її радикалі є один подвійний зв'язок.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Існують кислоти, які мають складнішу будову. Наприклад, у молекулі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молочної кислоти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містяться карбоксильна і гідроксильна групи: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762000"/>
            <wp:effectExtent l="19050" t="0" r="0" b="0"/>
            <wp:docPr id="36" name="Рисунок 36" descr="18-07-2017 07-56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8-07-2017 07-56-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Ця кислота утворюється з цукрів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результаті життєдіяльності молочнокислих бактерій і надає кислий смак кефіру, сметани, квашеній капусті, тощо.</w:t>
      </w:r>
    </w:p>
    <w:p w:rsidR="00E765C8" w:rsidRPr="00E765C8" w:rsidRDefault="00E765C8" w:rsidP="00E765C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kern w:val="36"/>
          <w:sz w:val="45"/>
          <w:szCs w:val="45"/>
          <w:lang w:eastAsia="ru-RU"/>
        </w:rPr>
      </w:pPr>
      <w:r w:rsidRPr="00E765C8">
        <w:rPr>
          <w:rFonts w:ascii="inherit" w:eastAsia="Times New Roman" w:hAnsi="inherit" w:cs="Arial"/>
          <w:kern w:val="36"/>
          <w:sz w:val="45"/>
          <w:lang w:eastAsia="ru-RU"/>
        </w:rPr>
        <w:t>2.</w:t>
      </w:r>
      <w:r w:rsidRPr="00E765C8">
        <w:rPr>
          <w:rFonts w:ascii="inherit" w:eastAsia="Times New Roman" w:hAnsi="inherit" w:cs="Arial"/>
          <w:kern w:val="36"/>
          <w:sz w:val="45"/>
          <w:szCs w:val="45"/>
          <w:lang w:eastAsia="ru-RU"/>
        </w:rPr>
        <w:t> Фізичні властивості карбонових кислот</w:t>
      </w:r>
    </w:p>
    <w:p w:rsidR="00E765C8" w:rsidRPr="00E765C8" w:rsidRDefault="00E765C8" w:rsidP="00E765C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sz w:val="41"/>
          <w:szCs w:val="41"/>
          <w:lang w:eastAsia="ru-RU"/>
        </w:rPr>
      </w:pPr>
      <w:r w:rsidRPr="00E765C8">
        <w:rPr>
          <w:rFonts w:ascii="inherit" w:eastAsia="Times New Roman" w:hAnsi="inherit" w:cs="Arial"/>
          <w:sz w:val="41"/>
          <w:szCs w:val="41"/>
          <w:lang w:eastAsia="ru-RU"/>
        </w:rPr>
        <w:t>Теорія: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Мурашина кислота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— найпростіший представник насичених карбонових кислот. У молекулі мурашиної кислоти міститься один атом Карбону (як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метану), тому її ще називають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метановою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кислотою. Це єдина кислота,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якій карбоксильна група сполучена з атомом Гідрогену, а не з вуглеводневим радикалом.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Будову молекули мурашиної кислоти можна представити наступним чином: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95425" cy="1123950"/>
            <wp:effectExtent l="19050" t="0" r="9525" b="0"/>
            <wp:docPr id="39" name="Рисунок 39" descr="06-03-2017 21-16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06-03-2017 21-16-4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Скорочена структурна формула мурашиної кислоти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а молекулярна формула —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O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Мурашина кислота —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ідина з різким запахом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добре розчинна у воді. Вона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отруйна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При попаданні на шкіру викликає опіки.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Міститься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виділеннях мурашок, у пекучих волосках кропиви, у хвої сосни.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1714500"/>
            <wp:effectExtent l="19050" t="0" r="0" b="0"/>
            <wp:docPr id="40" name="Рисунок 40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Оцтова кислота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— гомолог мурашиної. В її молекулі — два атома Карбону, один з яких входить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складу функціональної групи. Інша назва оцтової кислоти 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етанова.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1276350"/>
            <wp:effectExtent l="19050" t="0" r="0" b="0"/>
            <wp:docPr id="41" name="Рисунок 41" descr="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Скорочена формула оцтової кислоти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CH</w:t>
      </w:r>
      <w:r w:rsidRPr="00E765C8">
        <w:rPr>
          <w:rFonts w:ascii="MathJax_Main" w:eastAsia="Times New Roman" w:hAnsi="MathJax_Main" w:cs="Arial"/>
          <w:sz w:val="25"/>
          <w:lang w:eastAsia="ru-RU"/>
        </w:rPr>
        <w:t>3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молекулярна —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4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O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Оцтова кислота 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безбарвна 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ідина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з характерним різким запахом, необмежено розчинна у воді.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При температурі </w:t>
      </w:r>
      <w:r w:rsidRPr="00E765C8">
        <w:rPr>
          <w:rFonts w:ascii="MathJax_Main" w:eastAsia="Times New Roman" w:hAnsi="MathJax_Main" w:cs="Arial"/>
          <w:sz w:val="30"/>
          <w:lang w:eastAsia="ru-RU"/>
        </w:rPr>
        <w:t>16,5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 ° С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безводна оцтова кислота перетворюється на тверду кристалічну речовину, схожу на лід. Тому її іноді називають крижаною оцтовою кислотою.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1838325"/>
            <wp:effectExtent l="19050" t="0" r="0" b="0"/>
            <wp:docPr id="42" name="Рисунок 42" descr="06-03-2017 22-10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6-03-2017 22-10-5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Крижана оцтова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MathJax_Main" w:eastAsia="Times New Roman" w:hAnsi="MathJax_Main" w:cs="Arial"/>
          <w:sz w:val="30"/>
          <w:lang w:eastAsia="ru-RU"/>
        </w:rPr>
        <w:t>70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765C8">
        <w:rPr>
          <w:rFonts w:ascii="MathJax_Main" w:eastAsia="Times New Roman" w:hAnsi="MathJax_Main" w:cs="Arial"/>
          <w:sz w:val="30"/>
          <w:lang w:eastAsia="ru-RU"/>
        </w:rPr>
        <w:t>80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% розчин оцтової кислоти називають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оцтовою есенцією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а </w:t>
      </w:r>
      <w:r w:rsidRPr="00E765C8">
        <w:rPr>
          <w:rFonts w:ascii="MathJax_Main" w:eastAsia="Times New Roman" w:hAnsi="MathJax_Main" w:cs="Arial"/>
          <w:sz w:val="30"/>
          <w:lang w:eastAsia="ru-RU"/>
        </w:rPr>
        <w:t>5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E765C8">
        <w:rPr>
          <w:rFonts w:ascii="MathJax_Main" w:eastAsia="Times New Roman" w:hAnsi="MathJax_Main" w:cs="Arial"/>
          <w:sz w:val="30"/>
          <w:lang w:eastAsia="ru-RU"/>
        </w:rPr>
        <w:t>9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% розчин застосовується в побуті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ід назвою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столового оцту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Вищі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карбонові кислоти —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тверд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без запаху, нерозчинні у воді речовини.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Стеаринова кислота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має склад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чи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18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36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O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Це біла, жирна на дотик речовина. Запаху не ма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є.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У воді не розчиняється. Входить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складу жирів.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733675" cy="2047875"/>
            <wp:effectExtent l="19050" t="0" r="9525" b="0"/>
            <wp:docPr id="43" name="Рисунок 4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Стеаринова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Такі ж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властивості у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пальмітинової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кислоти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31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чи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16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32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O</w:t>
      </w:r>
      <w:r w:rsidRPr="00E765C8">
        <w:rPr>
          <w:rFonts w:ascii="MathJax_Main" w:eastAsia="Times New Roman" w:hAnsi="MathJax_Main" w:cs="Arial"/>
          <w:sz w:val="25"/>
          <w:lang w:eastAsia="ru-RU"/>
        </w:rPr>
        <w:t>2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Ненасичена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олеїнова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кислота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33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ві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др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ізняється від насиченої агрегатним станом. Вона являє собою маслянисту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ідину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У воді не розчиняється.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00200" cy="2743200"/>
            <wp:effectExtent l="19050" t="0" r="0" b="0"/>
            <wp:docPr id="44" name="Рисунок 44" descr="07-03-2017 11-08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7-03-2017 11-08-3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Олеїнова кислота</w:t>
      </w:r>
    </w:p>
    <w:p w:rsidR="00E765C8" w:rsidRPr="00E765C8" w:rsidRDefault="00E765C8" w:rsidP="00E765C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kern w:val="36"/>
          <w:sz w:val="45"/>
          <w:szCs w:val="45"/>
          <w:lang w:eastAsia="ru-RU"/>
        </w:rPr>
      </w:pPr>
      <w:r w:rsidRPr="00E765C8">
        <w:rPr>
          <w:rFonts w:ascii="inherit" w:eastAsia="Times New Roman" w:hAnsi="inherit" w:cs="Arial"/>
          <w:kern w:val="36"/>
          <w:sz w:val="45"/>
          <w:lang w:eastAsia="ru-RU"/>
        </w:rPr>
        <w:t>3.</w:t>
      </w:r>
      <w:r w:rsidRPr="00E765C8">
        <w:rPr>
          <w:rFonts w:ascii="inherit" w:eastAsia="Times New Roman" w:hAnsi="inherit" w:cs="Arial"/>
          <w:kern w:val="36"/>
          <w:sz w:val="45"/>
          <w:szCs w:val="45"/>
          <w:lang w:eastAsia="ru-RU"/>
        </w:rPr>
        <w:t> Хімічні властивості карбонових кислот</w:t>
      </w:r>
    </w:p>
    <w:p w:rsidR="00E765C8" w:rsidRPr="00E765C8" w:rsidRDefault="00E765C8" w:rsidP="00E765C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sz w:val="41"/>
          <w:szCs w:val="41"/>
          <w:lang w:eastAsia="ru-RU"/>
        </w:rPr>
      </w:pPr>
      <w:r w:rsidRPr="00E765C8">
        <w:rPr>
          <w:rFonts w:ascii="inherit" w:eastAsia="Times New Roman" w:hAnsi="inherit" w:cs="Arial"/>
          <w:sz w:val="41"/>
          <w:szCs w:val="41"/>
          <w:lang w:eastAsia="ru-RU"/>
        </w:rPr>
        <w:t>Теорія: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Хімічні властивості карбонових кислот обумовлені наявністю в їх складі карбоксильної групи </w:t>
      </w:r>
      <w:r w:rsidRPr="00E765C8">
        <w:rPr>
          <w:rFonts w:ascii="MathJax_Main" w:eastAsia="Times New Roman" w:hAnsi="MathJax_Main" w:cs="Arial"/>
          <w:sz w:val="30"/>
          <w:lang w:eastAsia="ru-RU"/>
        </w:rPr>
        <w:t>−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COOH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Розчинні кислоти дисоціюють у воді на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катіони Гідрогену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аніони 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кислотного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залишку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05125" cy="219075"/>
            <wp:effectExtent l="19050" t="0" r="9525" b="0"/>
            <wp:docPr id="51" name="Рисунок 51" descr="07-03-2017 12-03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7-03-2017 12-03-5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Йони Гідрогену надають розчинам кислот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кислий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смак, а також спільні з неорганічними кислотами хімічні властивості.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Карбонові кислоти 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слабкі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електроліти 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слабкі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кислоти. Найсильніша з них, мурашина, відноситься до кислот середньої сили.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і збільшенням числа атомів Карбону в молекулі сила кислот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зменшується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У хімічних реакціях з багатьма речовинами утворюються солі карбонових кислот. Солі мурашиної кислоти 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форміати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солі оцтової кислоти —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ацетати.</w:t>
      </w:r>
    </w:p>
    <w:p w:rsidR="00E765C8" w:rsidRPr="00E765C8" w:rsidRDefault="00E765C8" w:rsidP="00E765C8">
      <w:pPr>
        <w:shd w:val="clear" w:color="auto" w:fill="FFFFFF"/>
        <w:spacing w:line="240" w:lineRule="auto"/>
        <w:rPr>
          <w:rFonts w:ascii="Arial" w:eastAsia="Times New Roman" w:hAnsi="Arial" w:cs="Arial"/>
          <w:sz w:val="45"/>
          <w:szCs w:val="45"/>
          <w:lang w:eastAsia="ru-RU"/>
        </w:rPr>
      </w:pPr>
      <w:r w:rsidRPr="00E765C8">
        <w:rPr>
          <w:rFonts w:ascii="Arial" w:eastAsia="Times New Roman" w:hAnsi="Arial" w:cs="Arial"/>
          <w:sz w:val="45"/>
          <w:szCs w:val="45"/>
          <w:lang w:eastAsia="ru-RU"/>
        </w:rPr>
        <w:t>Хімічні властивості оцтової кислоти</w:t>
      </w:r>
    </w:p>
    <w:p w:rsidR="00E765C8" w:rsidRPr="00E765C8" w:rsidRDefault="00E765C8" w:rsidP="00E765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Змінює забарвлення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індикаторі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Лакмус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метилоранж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 розчині оцтової кислоти стають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червоними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Фенолфталеїн своє забарвлення не зміню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є,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як і в розчинах неорганічних кислот.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4850" cy="1476375"/>
            <wp:effectExtent l="19050" t="0" r="0" b="0"/>
            <wp:docPr id="52" name="Рисунок 52" descr="Індик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Індикатор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numPr>
          <w:ilvl w:val="0"/>
          <w:numId w:val="4"/>
        </w:numPr>
        <w:shd w:val="clear" w:color="auto" w:fill="FFFFFF"/>
        <w:spacing w:beforeAutospacing="1" w:after="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Взаємодіє з деякими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металами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(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Mg</w:t>
      </w:r>
      <w:r w:rsidRPr="00E765C8">
        <w:rPr>
          <w:rFonts w:ascii="MathJax_Main" w:eastAsia="Times New Roman" w:hAnsi="MathJax_Main" w:cs="Arial"/>
          <w:sz w:val="30"/>
          <w:lang w:eastAsia="ru-RU"/>
        </w:rPr>
        <w:t>,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Zn</w:t>
      </w:r>
      <w:r w:rsidRPr="00E765C8">
        <w:rPr>
          <w:rFonts w:ascii="MathJax_Main" w:eastAsia="Times New Roman" w:hAnsi="MathJax_Main" w:cs="Arial"/>
          <w:sz w:val="30"/>
          <w:lang w:eastAsia="ru-RU"/>
        </w:rPr>
        <w:t>,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Al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) з виділенням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водню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і утворенням солей (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ацетатів)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81200" cy="247650"/>
            <wp:effectExtent l="19050" t="0" r="0" b="0"/>
            <wp:docPr id="53" name="Рисунок 53" descr="07-03-2017 12-04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7-03-2017 12-04-1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19300" cy="247650"/>
            <wp:effectExtent l="19050" t="0" r="0" b="0"/>
            <wp:docPr id="54" name="Рисунок 54" descr="07-03-2017 12-0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07-03-2017 12-04-3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2400300"/>
            <wp:effectExtent l="19050" t="0" r="0" b="0"/>
            <wp:docPr id="55" name="Рисунок 55" descr="07-03-2017 11-5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7-03-2017 11-54-15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Цинк з оцтовою кислотою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Реагує з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основними оксидами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з утворенням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солі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076450" cy="247650"/>
            <wp:effectExtent l="19050" t="0" r="0" b="0"/>
            <wp:docPr id="56" name="Рисунок 56" descr="07-03-2017 12-04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7-03-2017 12-04-5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62175" cy="247650"/>
            <wp:effectExtent l="19050" t="0" r="9525" b="0"/>
            <wp:docPr id="57" name="Рисунок 57" descr="07-03-2017 12-05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7-03-2017 12-05-22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2505075"/>
            <wp:effectExtent l="19050" t="0" r="0" b="0"/>
            <wp:docPr id="58" name="Рисунок 58" descr="07-03-2017 11-44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07-03-2017 11-44-4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Купрум(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II</w:t>
      </w: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) оксид і оцтова кислота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Вступає у реакцію нейтралізації з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основами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33600" cy="247650"/>
            <wp:effectExtent l="19050" t="0" r="0" b="0"/>
            <wp:docPr id="59" name="Рисунок 59" descr="07-03-2017 12-0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7-03-2017 12-07-5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57375" cy="247650"/>
            <wp:effectExtent l="19050" t="0" r="9525" b="0"/>
            <wp:docPr id="60" name="Рисунок 60" descr="07-03-2017 12-08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7-03-2017 12-08-0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Взаємодіє з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карбонатами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Реакція відбувається з виділенням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вуглекислого газу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43150" cy="247650"/>
            <wp:effectExtent l="19050" t="0" r="0" b="0"/>
            <wp:docPr id="61" name="Рисунок 61" descr="07-03-2017 12-0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7-03-2017 12-09-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533650" cy="247650"/>
            <wp:effectExtent l="19050" t="0" r="0" b="0"/>
            <wp:docPr id="62" name="Рисунок 62" descr="07-03-2017 12-09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7-03-2017 12-09-2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5000" cy="2095500"/>
            <wp:effectExtent l="19050" t="0" r="0" b="0"/>
            <wp:docPr id="63" name="Рисунок 63" descr="56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56117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Сода і оцет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У присутності сильних кислот реагує зі спиртами з утворенням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складних ефі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ів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Реакція називається реакцією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етерифікації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 При взаємодії оцтової кислоти і етилового спирту утворюється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оцтовоетиловий ефір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90775" cy="247650"/>
            <wp:effectExtent l="19050" t="0" r="9525" b="0"/>
            <wp:docPr id="64" name="Рисунок 64" descr="07-03-2017 12-10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7-03-2017 12-10-22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24075" cy="247650"/>
            <wp:effectExtent l="19050" t="0" r="9525" b="0"/>
            <wp:docPr id="65" name="Рисунок 65" descr="07-03-2017 12-11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7-03-2017 12-11-19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E765C8" w:rsidRPr="00E765C8" w:rsidRDefault="00E765C8" w:rsidP="00E765C8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kern w:val="36"/>
          <w:sz w:val="45"/>
          <w:szCs w:val="45"/>
          <w:lang w:eastAsia="ru-RU"/>
        </w:rPr>
      </w:pPr>
      <w:r w:rsidRPr="00E765C8">
        <w:rPr>
          <w:rFonts w:ascii="inherit" w:eastAsia="Times New Roman" w:hAnsi="inherit" w:cs="Arial"/>
          <w:kern w:val="36"/>
          <w:sz w:val="45"/>
          <w:lang w:eastAsia="ru-RU"/>
        </w:rPr>
        <w:t>4.</w:t>
      </w:r>
      <w:r w:rsidRPr="00E765C8">
        <w:rPr>
          <w:rFonts w:ascii="inherit" w:eastAsia="Times New Roman" w:hAnsi="inherit" w:cs="Arial"/>
          <w:kern w:val="36"/>
          <w:sz w:val="45"/>
          <w:szCs w:val="45"/>
          <w:lang w:eastAsia="ru-RU"/>
        </w:rPr>
        <w:t> Застосування карбонових кислот</w:t>
      </w:r>
    </w:p>
    <w:p w:rsidR="00E765C8" w:rsidRPr="00E765C8" w:rsidRDefault="00E765C8" w:rsidP="00E765C8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sz w:val="41"/>
          <w:szCs w:val="41"/>
          <w:lang w:eastAsia="ru-RU"/>
        </w:rPr>
      </w:pPr>
      <w:r w:rsidRPr="00E765C8">
        <w:rPr>
          <w:rFonts w:ascii="inherit" w:eastAsia="Times New Roman" w:hAnsi="inherit" w:cs="Arial"/>
          <w:sz w:val="41"/>
          <w:szCs w:val="41"/>
          <w:lang w:eastAsia="ru-RU"/>
        </w:rPr>
        <w:lastRenderedPageBreak/>
        <w:t>Теорія: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Мурашина кислота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використовується в якості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протрави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вовни і шкіри перед фарбуванням, у промисловості — в якості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сильного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відновника.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Застосовується в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медицині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 у вигляді розчину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ід назвою «мурашиний спирт».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 мурашиної кислоти отримують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складні ефіри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Оцтова кислота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використовується для виробництва </w:t>
      </w:r>
      <w:proofErr w:type="gramStart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штучного</w:t>
      </w:r>
      <w:proofErr w:type="gramEnd"/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шовку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пластмас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барвників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ліків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(аспірину).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1847850"/>
            <wp:effectExtent l="19050" t="0" r="0" b="0"/>
            <wp:docPr id="81" name="Рисунок 81" descr="24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248103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Використовується як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розчинник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при фарбуванні тканин, в шкіряному виробництві, лакофарбової промисловості.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  <w:t>Є відмінним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консервантом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тому застосовується для консервування харчових продукті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оцтової кислоти отримують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гербіцид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и для боротьби з бур'янами.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1905000"/>
            <wp:effectExtent l="19050" t="0" r="0" b="0"/>
            <wp:docPr id="82" name="Рисунок 8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Складні ефіри оцтової кислоти входять </w:t>
      </w:r>
      <w:proofErr w:type="gramStart"/>
      <w:r w:rsidRPr="00E765C8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E765C8">
        <w:rPr>
          <w:rFonts w:ascii="Arial" w:eastAsia="Times New Roman" w:hAnsi="Arial" w:cs="Arial"/>
          <w:sz w:val="24"/>
          <w:szCs w:val="24"/>
          <w:lang w:eastAsia="ru-RU"/>
        </w:rPr>
        <w:t xml:space="preserve"> складу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фруктових есенцій.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933575"/>
            <wp:effectExtent l="19050" t="0" r="0" b="0"/>
            <wp:docPr id="83" name="Рисунок 83" descr="prodam-fruktovye-dobavki-v-vypechku-i-spirtnoe.--0089-1425886563735972-2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rodam-fruktovye-dobavki-v-vypechku-i-spirtnoe.--0089-1425886563735972-2-big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Вищі 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жирні) карбонові кислоти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використовуються для виробництва </w:t>
      </w:r>
      <w:r w:rsidRPr="00E765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мила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основу якого складають натрієві або калієві солі цих кислот (стеарати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COONa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  пальміати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15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31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COONa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, олеати 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</w:t>
      </w:r>
      <w:r w:rsidRPr="00E765C8">
        <w:rPr>
          <w:rFonts w:ascii="MathJax_Main" w:eastAsia="Times New Roman" w:hAnsi="MathJax_Main" w:cs="Arial"/>
          <w:sz w:val="25"/>
          <w:lang w:eastAsia="ru-RU"/>
        </w:rPr>
        <w:t>17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H</w:t>
      </w:r>
      <w:r w:rsidRPr="00E765C8">
        <w:rPr>
          <w:rFonts w:ascii="MathJax_Main" w:eastAsia="Times New Roman" w:hAnsi="MathJax_Main" w:cs="Arial"/>
          <w:sz w:val="25"/>
          <w:lang w:eastAsia="ru-RU"/>
        </w:rPr>
        <w:t>33</w:t>
      </w:r>
      <w:r w:rsidRPr="00E765C8">
        <w:rPr>
          <w:rFonts w:ascii="MathJax_Math-italic" w:eastAsia="Times New Roman" w:hAnsi="MathJax_Math-italic" w:cs="Arial"/>
          <w:sz w:val="30"/>
          <w:lang w:eastAsia="ru-RU"/>
        </w:rPr>
        <w:t>COONa</w:t>
      </w:r>
      <w:r w:rsidRPr="00E765C8">
        <w:rPr>
          <w:rFonts w:ascii="Arial" w:eastAsia="Times New Roman" w:hAnsi="Arial" w:cs="Arial"/>
          <w:sz w:val="24"/>
          <w:szCs w:val="24"/>
          <w:lang w:eastAsia="ru-RU"/>
        </w:rPr>
        <w:t> та інші).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65C8" w:rsidRPr="00E765C8" w:rsidRDefault="00E765C8" w:rsidP="00E765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65C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857500" cy="2371725"/>
            <wp:effectExtent l="19050" t="0" r="0" b="0"/>
            <wp:docPr id="84" name="Рисунок 84" descr="d7a3709a302f109fecdc01ca8cc3a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7a3709a302f109fecdc01ca8cc3ad3a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C8" w:rsidRPr="00E765C8" w:rsidRDefault="00E765C8" w:rsidP="00E765C8">
      <w:pPr>
        <w:pStyle w:val="a8"/>
        <w:spacing w:line="360" w:lineRule="auto"/>
        <w:ind w:left="-426"/>
        <w:jc w:val="both"/>
        <w:rPr>
          <w:rFonts w:ascii="Times New Roman" w:hAnsi="Times New Roman"/>
          <w:sz w:val="40"/>
          <w:szCs w:val="40"/>
          <w:lang w:val="uk-UA"/>
        </w:rPr>
      </w:pPr>
      <w:r w:rsidRPr="00E765C8">
        <w:rPr>
          <w:rFonts w:ascii="Times New Roman" w:hAnsi="Times New Roman"/>
          <w:b/>
          <w:sz w:val="40"/>
          <w:szCs w:val="40"/>
          <w:u w:val="single"/>
          <w:lang w:val="uk-UA"/>
        </w:rPr>
        <w:t>Домашнє завдання</w:t>
      </w:r>
      <w:r w:rsidRPr="00E765C8">
        <w:rPr>
          <w:rFonts w:ascii="Times New Roman" w:hAnsi="Times New Roman"/>
          <w:sz w:val="40"/>
          <w:szCs w:val="40"/>
          <w:u w:val="single"/>
          <w:lang w:val="uk-UA"/>
        </w:rPr>
        <w:t>:</w:t>
      </w:r>
      <w:r w:rsidRPr="00E765C8">
        <w:rPr>
          <w:rFonts w:ascii="Times New Roman" w:hAnsi="Times New Roman"/>
          <w:sz w:val="40"/>
          <w:szCs w:val="40"/>
          <w:lang w:val="uk-UA"/>
        </w:rPr>
        <w:t xml:space="preserve"> опрацювати § 33, 34</w:t>
      </w:r>
    </w:p>
    <w:p w:rsidR="00B4505E" w:rsidRPr="00E765C8" w:rsidRDefault="00E765C8" w:rsidP="00E765C8">
      <w:pPr>
        <w:pStyle w:val="a8"/>
        <w:spacing w:line="360" w:lineRule="auto"/>
        <w:ind w:left="-426"/>
        <w:jc w:val="both"/>
        <w:rPr>
          <w:rFonts w:ascii="Times New Roman" w:hAnsi="Times New Roman"/>
          <w:sz w:val="40"/>
          <w:szCs w:val="40"/>
          <w:lang w:val="uk-UA"/>
        </w:rPr>
      </w:pPr>
      <w:r w:rsidRPr="00E765C8">
        <w:rPr>
          <w:rFonts w:ascii="Times New Roman" w:hAnsi="Times New Roman"/>
          <w:sz w:val="40"/>
          <w:szCs w:val="40"/>
          <w:lang w:val="uk-UA"/>
        </w:rPr>
        <w:t>виконати вправи 395-403,413-420</w:t>
      </w:r>
    </w:p>
    <w:sectPr w:rsidR="00B4505E" w:rsidRPr="00E765C8" w:rsidSect="006A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282"/>
    <w:multiLevelType w:val="multilevel"/>
    <w:tmpl w:val="8A1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20CB3"/>
    <w:multiLevelType w:val="multilevel"/>
    <w:tmpl w:val="A9C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A3FA9"/>
    <w:multiLevelType w:val="multilevel"/>
    <w:tmpl w:val="F88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202B0"/>
    <w:multiLevelType w:val="multilevel"/>
    <w:tmpl w:val="8BD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96C5F"/>
    <w:multiLevelType w:val="multilevel"/>
    <w:tmpl w:val="C18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A5E6F"/>
    <w:multiLevelType w:val="multilevel"/>
    <w:tmpl w:val="44D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97EB8"/>
    <w:multiLevelType w:val="multilevel"/>
    <w:tmpl w:val="5FE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104F2"/>
    <w:multiLevelType w:val="multilevel"/>
    <w:tmpl w:val="B42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B4505E"/>
    <w:rsid w:val="006A3B9B"/>
    <w:rsid w:val="00B4505E"/>
    <w:rsid w:val="00D37008"/>
    <w:rsid w:val="00E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9B"/>
  </w:style>
  <w:style w:type="paragraph" w:styleId="1">
    <w:name w:val="heading 1"/>
    <w:basedOn w:val="a"/>
    <w:link w:val="10"/>
    <w:uiPriority w:val="9"/>
    <w:qFormat/>
    <w:rsid w:val="00B45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5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05E"/>
    <w:rPr>
      <w:b/>
      <w:bCs/>
    </w:rPr>
  </w:style>
  <w:style w:type="character" w:customStyle="1" w:styleId="gxst-color-emph">
    <w:name w:val="gxst-color-emph"/>
    <w:basedOn w:val="a0"/>
    <w:rsid w:val="00B4505E"/>
  </w:style>
  <w:style w:type="character" w:customStyle="1" w:styleId="mi">
    <w:name w:val="mi"/>
    <w:basedOn w:val="a0"/>
    <w:rsid w:val="00B4505E"/>
  </w:style>
  <w:style w:type="character" w:customStyle="1" w:styleId="mn">
    <w:name w:val="mn"/>
    <w:basedOn w:val="a0"/>
    <w:rsid w:val="00B4505E"/>
  </w:style>
  <w:style w:type="character" w:styleId="a4">
    <w:name w:val="Emphasis"/>
    <w:basedOn w:val="a0"/>
    <w:uiPriority w:val="20"/>
    <w:qFormat/>
    <w:rsid w:val="00B4505E"/>
    <w:rPr>
      <w:i/>
      <w:iCs/>
    </w:rPr>
  </w:style>
  <w:style w:type="character" w:customStyle="1" w:styleId="mo">
    <w:name w:val="mo"/>
    <w:basedOn w:val="a0"/>
    <w:rsid w:val="00B4505E"/>
  </w:style>
  <w:style w:type="paragraph" w:styleId="a5">
    <w:name w:val="Balloon Text"/>
    <w:basedOn w:val="a"/>
    <w:link w:val="a6"/>
    <w:uiPriority w:val="99"/>
    <w:semiHidden/>
    <w:unhideWhenUsed/>
    <w:rsid w:val="00B4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B4505E"/>
  </w:style>
  <w:style w:type="character" w:customStyle="1" w:styleId="gxs-number">
    <w:name w:val="gxs-number"/>
    <w:basedOn w:val="a0"/>
    <w:rsid w:val="00B4505E"/>
  </w:style>
  <w:style w:type="character" w:customStyle="1" w:styleId="gxs-text">
    <w:name w:val="gxs-text"/>
    <w:basedOn w:val="a0"/>
    <w:rsid w:val="00B4505E"/>
  </w:style>
  <w:style w:type="character" w:customStyle="1" w:styleId="answer-point">
    <w:name w:val="answer-point"/>
    <w:basedOn w:val="a0"/>
    <w:rsid w:val="00B450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0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0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0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0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D37008"/>
    <w:pPr>
      <w:spacing w:after="0" w:line="240" w:lineRule="auto"/>
    </w:pPr>
  </w:style>
  <w:style w:type="character" w:customStyle="1" w:styleId="gxst-emph">
    <w:name w:val="gxst-emph"/>
    <w:basedOn w:val="a0"/>
    <w:rsid w:val="00E765C8"/>
  </w:style>
  <w:style w:type="paragraph" w:styleId="a8">
    <w:name w:val="List Paragraph"/>
    <w:basedOn w:val="a"/>
    <w:uiPriority w:val="34"/>
    <w:qFormat/>
    <w:rsid w:val="00E765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9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4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4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09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07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8933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5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3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7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9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36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22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511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8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0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3420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83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2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7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616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732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3408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8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8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408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1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0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4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3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2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45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38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9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73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2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332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5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1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59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94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3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63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20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387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039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16050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5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0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328979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403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17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8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065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4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8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0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8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3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8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693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81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58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0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32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3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4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09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08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6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1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9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325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2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47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1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52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82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1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49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02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59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9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65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66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10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35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8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7C2D-DF0E-4D3C-909E-5A602E3D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1020</Words>
  <Characters>5820</Characters>
  <Application>Microsoft Office Word</Application>
  <DocSecurity>0</DocSecurity>
  <Lines>48</Lines>
  <Paragraphs>13</Paragraphs>
  <ScaleCrop>false</ScaleCrop>
  <Company>StartSoft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2020-04-01T16:09:00Z</dcterms:created>
  <dcterms:modified xsi:type="dcterms:W3CDTF">2020-04-01T16:09:00Z</dcterms:modified>
</cp:coreProperties>
</file>