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4"/>
        <w:tblW w:w="9746" w:type="dxa"/>
        <w:tblInd w:w="0" w:type="dxa"/>
        <w:tblLayout w:type="fixed"/>
        <w:tblCellMar>
          <w:top w:w="0" w:type="dxa"/>
          <w:left w:w="0" w:type="dxa"/>
          <w:bottom w:w="0" w:type="dxa"/>
          <w:right w:w="0" w:type="dxa"/>
        </w:tblCellMar>
      </w:tblPr>
      <w:tblGrid>
        <w:gridCol w:w="4769"/>
        <w:gridCol w:w="4977"/>
      </w:tblGrid>
      <w:tr>
        <w:tblPrEx>
          <w:tblCellMar>
            <w:top w:w="0" w:type="dxa"/>
            <w:left w:w="0" w:type="dxa"/>
            <w:bottom w:w="0" w:type="dxa"/>
            <w:right w:w="0" w:type="dxa"/>
          </w:tblCellMar>
        </w:tblPrEx>
        <w:trPr>
          <w:trHeight w:val="1509" w:hRule="atLeast"/>
        </w:trPr>
        <w:tc>
          <w:tcPr>
            <w:tcW w:w="4769" w:type="dxa"/>
          </w:tcPr>
          <w:p>
            <w:pPr>
              <w:pStyle w:val="25"/>
              <w:spacing w:line="276" w:lineRule="auto"/>
              <w:ind w:left="0"/>
              <w:rPr>
                <w:sz w:val="24"/>
                <w:szCs w:val="24"/>
              </w:rPr>
            </w:pPr>
            <w:r>
              <w:rPr>
                <w:sz w:val="24"/>
                <w:szCs w:val="24"/>
              </w:rPr>
              <w:t>СХВАЛЕНО</w:t>
            </w:r>
          </w:p>
          <w:p>
            <w:pPr>
              <w:pStyle w:val="25"/>
              <w:spacing w:before="1" w:line="276" w:lineRule="auto"/>
              <w:ind w:left="0"/>
              <w:rPr>
                <w:sz w:val="24"/>
                <w:szCs w:val="24"/>
              </w:rPr>
            </w:pPr>
            <w:r>
              <w:rPr>
                <w:sz w:val="24"/>
                <w:szCs w:val="24"/>
              </w:rPr>
              <w:t>педагогічною радою</w:t>
            </w:r>
          </w:p>
          <w:p>
            <w:pPr>
              <w:pStyle w:val="25"/>
              <w:tabs>
                <w:tab w:val="left" w:pos="1790"/>
                <w:tab w:val="left" w:pos="3118"/>
              </w:tabs>
              <w:spacing w:line="276" w:lineRule="auto"/>
              <w:ind w:left="0"/>
              <w:rPr>
                <w:sz w:val="24"/>
                <w:szCs w:val="24"/>
              </w:rPr>
            </w:pPr>
            <w:r>
              <w:rPr>
                <w:sz w:val="24"/>
                <w:szCs w:val="24"/>
              </w:rPr>
              <w:t>(протокол</w:t>
            </w:r>
            <w:r>
              <w:rPr>
                <w:spacing w:val="-1"/>
                <w:sz w:val="24"/>
                <w:szCs w:val="24"/>
              </w:rPr>
              <w:t xml:space="preserve"> </w:t>
            </w:r>
            <w:r>
              <w:rPr>
                <w:sz w:val="24"/>
                <w:szCs w:val="24"/>
              </w:rPr>
              <w:t>№ 1 від 28.08.2021</w:t>
            </w:r>
            <w:r>
              <w:rPr>
                <w:spacing w:val="-2"/>
                <w:sz w:val="24"/>
                <w:szCs w:val="24"/>
              </w:rPr>
              <w:t xml:space="preserve"> </w:t>
            </w:r>
            <w:r>
              <w:rPr>
                <w:sz w:val="24"/>
                <w:szCs w:val="24"/>
              </w:rPr>
              <w:t>р.)</w:t>
            </w:r>
          </w:p>
          <w:p>
            <w:pPr>
              <w:pStyle w:val="25"/>
              <w:spacing w:line="276" w:lineRule="auto"/>
              <w:ind w:left="0"/>
            </w:pPr>
          </w:p>
        </w:tc>
        <w:tc>
          <w:tcPr>
            <w:tcW w:w="4977" w:type="dxa"/>
          </w:tcPr>
          <w:p>
            <w:pPr>
              <w:pStyle w:val="25"/>
              <w:spacing w:line="276" w:lineRule="auto"/>
              <w:rPr>
                <w:sz w:val="24"/>
                <w:szCs w:val="24"/>
              </w:rPr>
            </w:pPr>
            <w:r>
              <w:rPr>
                <w:sz w:val="24"/>
                <w:szCs w:val="24"/>
              </w:rPr>
              <w:t>ЗАТВЕРДЖЕНО</w:t>
            </w:r>
          </w:p>
          <w:p>
            <w:pPr>
              <w:pStyle w:val="25"/>
              <w:tabs>
                <w:tab w:val="left" w:pos="2590"/>
                <w:tab w:val="left" w:pos="3950"/>
              </w:tabs>
              <w:spacing w:before="1" w:line="276" w:lineRule="auto"/>
              <w:rPr>
                <w:sz w:val="24"/>
                <w:szCs w:val="24"/>
              </w:rPr>
            </w:pPr>
            <w:r>
              <w:rPr>
                <w:sz w:val="24"/>
                <w:szCs w:val="24"/>
              </w:rPr>
              <w:t>наказом</w:t>
            </w:r>
            <w:r>
              <w:rPr>
                <w:spacing w:val="-2"/>
                <w:sz w:val="24"/>
                <w:szCs w:val="24"/>
              </w:rPr>
              <w:t xml:space="preserve"> </w:t>
            </w:r>
            <w:r>
              <w:rPr>
                <w:sz w:val="24"/>
                <w:szCs w:val="24"/>
              </w:rPr>
              <w:t>від 28.08.2021 р.</w:t>
            </w:r>
            <w:r>
              <w:rPr>
                <w:spacing w:val="-3"/>
                <w:sz w:val="24"/>
                <w:szCs w:val="24"/>
              </w:rPr>
              <w:t xml:space="preserve"> </w:t>
            </w:r>
            <w:r>
              <w:rPr>
                <w:sz w:val="24"/>
                <w:szCs w:val="24"/>
              </w:rPr>
              <w:t>№  66-од</w:t>
            </w:r>
          </w:p>
          <w:p>
            <w:pPr>
              <w:pStyle w:val="25"/>
              <w:spacing w:line="276" w:lineRule="auto"/>
              <w:rPr>
                <w:sz w:val="24"/>
                <w:szCs w:val="24"/>
              </w:rPr>
            </w:pPr>
            <w:r>
              <w:rPr>
                <w:sz w:val="24"/>
                <w:szCs w:val="24"/>
              </w:rPr>
              <w:t xml:space="preserve">Глибочецької  ЗОШ І-ІІІ ступенів </w:t>
            </w:r>
          </w:p>
          <w:p>
            <w:pPr>
              <w:pStyle w:val="25"/>
              <w:tabs>
                <w:tab w:val="left" w:pos="3231"/>
              </w:tabs>
              <w:spacing w:line="276" w:lineRule="auto"/>
              <w:ind w:left="0"/>
              <w:rPr>
                <w:sz w:val="24"/>
                <w:szCs w:val="24"/>
              </w:rPr>
            </w:pPr>
            <w:r>
              <w:rPr>
                <w:sz w:val="24"/>
                <w:szCs w:val="24"/>
              </w:rPr>
              <w:t xml:space="preserve">             Директор</w:t>
            </w:r>
            <w:r>
              <w:rPr>
                <w:spacing w:val="-2"/>
                <w:sz w:val="24"/>
                <w:szCs w:val="24"/>
              </w:rPr>
              <w:t xml:space="preserve"> </w:t>
            </w:r>
            <w:r>
              <w:rPr>
                <w:sz w:val="24"/>
                <w:szCs w:val="24"/>
              </w:rPr>
              <w:t>________Лариса ЗАРЕМБА</w:t>
            </w:r>
          </w:p>
          <w:p>
            <w:pPr>
              <w:pStyle w:val="25"/>
              <w:tabs>
                <w:tab w:val="left" w:pos="3231"/>
              </w:tabs>
              <w:spacing w:line="276" w:lineRule="auto"/>
              <w:ind w:left="0"/>
            </w:pPr>
            <w:r>
              <w:rPr>
                <w:sz w:val="24"/>
                <w:szCs w:val="24"/>
              </w:rPr>
              <w:t xml:space="preserve">              </w:t>
            </w:r>
          </w:p>
        </w:tc>
      </w:tr>
    </w:tbl>
    <w:p>
      <w:pPr>
        <w:spacing w:after="0"/>
        <w:outlineLvl w:val="0"/>
        <w:rPr>
          <w:rFonts w:ascii="Times New Roman" w:hAnsi="Times New Roman" w:eastAsia="Times New Roman" w:cs="Times New Roman"/>
          <w:b/>
          <w:bCs/>
          <w:i/>
          <w:iCs/>
          <w:color w:val="333333"/>
          <w:kern w:val="36"/>
          <w:sz w:val="53"/>
          <w:lang w:val="uk-UA" w:eastAsia="ru-RU"/>
        </w:rPr>
      </w:pPr>
    </w:p>
    <w:p>
      <w:pPr>
        <w:spacing w:after="0"/>
        <w:outlineLvl w:val="0"/>
        <w:rPr>
          <w:rFonts w:ascii="Times New Roman" w:hAnsi="Times New Roman" w:eastAsia="Times New Roman" w:cs="Times New Roman"/>
          <w:b/>
          <w:bCs/>
          <w:i/>
          <w:iCs/>
          <w:color w:val="333333"/>
          <w:kern w:val="36"/>
          <w:sz w:val="53"/>
          <w:lang w:val="uk-UA" w:eastAsia="ru-RU"/>
        </w:rPr>
      </w:pPr>
    </w:p>
    <w:p>
      <w:pPr>
        <w:spacing w:after="0"/>
        <w:outlineLvl w:val="0"/>
        <w:rPr>
          <w:rFonts w:ascii="Times New Roman" w:hAnsi="Times New Roman" w:eastAsia="Times New Roman" w:cs="Times New Roman"/>
          <w:b/>
          <w:bCs/>
          <w:i/>
          <w:iCs/>
          <w:color w:val="333333"/>
          <w:kern w:val="36"/>
          <w:sz w:val="53"/>
          <w:lang w:val="uk-UA" w:eastAsia="ru-RU"/>
        </w:rPr>
      </w:pPr>
    </w:p>
    <w:p>
      <w:pPr>
        <w:spacing w:after="0"/>
        <w:jc w:val="center"/>
        <w:outlineLvl w:val="0"/>
        <w:rPr>
          <w:rFonts w:ascii="Times New Roman" w:hAnsi="Times New Roman" w:eastAsia="Times New Roman" w:cs="Times New Roman"/>
          <w:b/>
          <w:bCs/>
          <w:i/>
          <w:iCs/>
          <w:color w:val="1F497D" w:themeColor="text2"/>
          <w:kern w:val="36"/>
          <w:sz w:val="53"/>
          <w:lang w:val="uk-UA" w:eastAsia="ru-RU"/>
        </w:rPr>
      </w:pPr>
      <w:r>
        <w:rPr>
          <w:rFonts w:ascii="Times New Roman" w:hAnsi="Times New Roman" w:eastAsia="Times New Roman" w:cs="Times New Roman"/>
          <w:b/>
          <w:bCs/>
          <w:i/>
          <w:iCs/>
          <w:color w:val="1F497D" w:themeColor="text2"/>
          <w:kern w:val="36"/>
          <w:sz w:val="53"/>
          <w:lang w:val="uk-UA" w:eastAsia="ru-RU"/>
        </w:rPr>
        <w:t xml:space="preserve">Положення </w:t>
      </w:r>
    </w:p>
    <w:p>
      <w:pPr>
        <w:spacing w:after="0"/>
        <w:jc w:val="center"/>
        <w:outlineLvl w:val="0"/>
        <w:rPr>
          <w:rFonts w:ascii="Times New Roman" w:hAnsi="Times New Roman" w:eastAsia="Times New Roman" w:cs="Times New Roman"/>
          <w:b/>
          <w:bCs/>
          <w:i/>
          <w:iCs/>
          <w:color w:val="1F497D" w:themeColor="text2"/>
          <w:kern w:val="36"/>
          <w:sz w:val="53"/>
          <w:lang w:val="uk-UA" w:eastAsia="ru-RU"/>
        </w:rPr>
      </w:pPr>
      <w:r>
        <w:rPr>
          <w:rFonts w:ascii="Times New Roman" w:hAnsi="Times New Roman" w:eastAsia="Times New Roman" w:cs="Times New Roman"/>
          <w:b/>
          <w:bCs/>
          <w:i/>
          <w:iCs/>
          <w:color w:val="1F497D" w:themeColor="text2"/>
          <w:kern w:val="36"/>
          <w:sz w:val="53"/>
          <w:lang w:val="uk-UA" w:eastAsia="ru-RU"/>
        </w:rPr>
        <w:t xml:space="preserve">про внутрішню систему </w:t>
      </w:r>
    </w:p>
    <w:p>
      <w:pPr>
        <w:spacing w:after="0"/>
        <w:jc w:val="center"/>
        <w:outlineLvl w:val="0"/>
        <w:rPr>
          <w:rFonts w:ascii="Times New Roman" w:hAnsi="Times New Roman" w:eastAsia="Times New Roman" w:cs="Times New Roman"/>
          <w:b/>
          <w:bCs/>
          <w:i/>
          <w:iCs/>
          <w:color w:val="1F497D" w:themeColor="text2"/>
          <w:kern w:val="36"/>
          <w:sz w:val="53"/>
          <w:lang w:val="uk-UA" w:eastAsia="ru-RU"/>
        </w:rPr>
      </w:pPr>
      <w:r>
        <w:rPr>
          <w:rFonts w:ascii="Times New Roman" w:hAnsi="Times New Roman" w:eastAsia="Times New Roman" w:cs="Times New Roman"/>
          <w:b/>
          <w:bCs/>
          <w:i/>
          <w:iCs/>
          <w:color w:val="1F497D" w:themeColor="text2"/>
          <w:kern w:val="36"/>
          <w:sz w:val="53"/>
          <w:lang w:val="uk-UA" w:eastAsia="ru-RU"/>
        </w:rPr>
        <w:t xml:space="preserve">забезпечення якості освіти </w:t>
      </w:r>
    </w:p>
    <w:p>
      <w:pPr>
        <w:spacing w:after="0"/>
        <w:jc w:val="center"/>
        <w:outlineLvl w:val="0"/>
        <w:rPr>
          <w:rFonts w:ascii="Times New Roman" w:hAnsi="Times New Roman" w:eastAsia="Times New Roman" w:cs="Times New Roman"/>
          <w:b/>
          <w:bCs/>
          <w:i/>
          <w:iCs/>
          <w:color w:val="1F497D" w:themeColor="text2"/>
          <w:kern w:val="36"/>
          <w:sz w:val="40"/>
          <w:szCs w:val="40"/>
          <w:lang w:val="uk-UA" w:eastAsia="ru-RU"/>
        </w:rPr>
      </w:pPr>
      <w:r>
        <w:rPr>
          <w:rFonts w:ascii="Times New Roman" w:hAnsi="Times New Roman" w:eastAsia="Times New Roman" w:cs="Times New Roman"/>
          <w:b/>
          <w:bCs/>
          <w:i/>
          <w:iCs/>
          <w:color w:val="1F497D" w:themeColor="text2"/>
          <w:kern w:val="36"/>
          <w:sz w:val="40"/>
          <w:szCs w:val="40"/>
          <w:lang w:val="uk-UA" w:eastAsia="ru-RU"/>
        </w:rPr>
        <w:t>Глибочецької загальноосвітньої школи І-ІІІ ст.</w:t>
      </w:r>
    </w:p>
    <w:p>
      <w:pPr>
        <w:spacing w:after="0"/>
        <w:jc w:val="center"/>
        <w:outlineLvl w:val="0"/>
        <w:rPr>
          <w:rFonts w:ascii="Times New Roman" w:hAnsi="Times New Roman" w:eastAsia="Times New Roman" w:cs="Times New Roman"/>
          <w:b/>
          <w:bCs/>
          <w:i/>
          <w:iCs/>
          <w:color w:val="1F497D" w:themeColor="text2"/>
          <w:kern w:val="36"/>
          <w:sz w:val="53"/>
          <w:lang w:val="uk-UA" w:eastAsia="ru-RU"/>
        </w:rPr>
      </w:pPr>
      <w:r>
        <w:rPr>
          <w:rFonts w:ascii="Times New Roman" w:hAnsi="Times New Roman" w:eastAsia="Times New Roman" w:cs="Times New Roman"/>
          <w:b/>
          <w:bCs/>
          <w:i/>
          <w:iCs/>
          <w:color w:val="1F497D" w:themeColor="text2"/>
          <w:kern w:val="36"/>
          <w:sz w:val="53"/>
          <w:lang w:val="uk-UA" w:eastAsia="ru-RU"/>
        </w:rPr>
        <w:t>Борщівської міської ради Тернопільської області</w:t>
      </w:r>
    </w:p>
    <w:p>
      <w:pPr>
        <w:spacing w:after="0"/>
        <w:jc w:val="both"/>
        <w:outlineLvl w:val="0"/>
        <w:rPr>
          <w:rFonts w:ascii="Times New Roman" w:hAnsi="Times New Roman" w:eastAsia="Times New Roman" w:cs="Times New Roman"/>
          <w:b/>
          <w:bCs/>
          <w:i/>
          <w:iCs/>
          <w:color w:val="666699"/>
          <w:kern w:val="36"/>
          <w:sz w:val="53"/>
          <w:lang w:val="uk-UA" w:eastAsia="ru-RU"/>
        </w:rPr>
      </w:pPr>
    </w:p>
    <w:p>
      <w:pPr>
        <w:spacing w:after="0"/>
        <w:jc w:val="both"/>
        <w:outlineLvl w:val="0"/>
        <w:rPr>
          <w:rFonts w:ascii="Times New Roman" w:hAnsi="Times New Roman" w:eastAsia="Times New Roman" w:cs="Times New Roman"/>
          <w:b/>
          <w:bCs/>
          <w:i/>
          <w:iCs/>
          <w:color w:val="666699"/>
          <w:kern w:val="36"/>
          <w:sz w:val="53"/>
          <w:lang w:val="uk-UA" w:eastAsia="ru-RU"/>
        </w:rPr>
      </w:pPr>
    </w:p>
    <w:p>
      <w:pPr>
        <w:spacing w:after="0"/>
        <w:jc w:val="center"/>
        <w:outlineLvl w:val="0"/>
        <w:rPr>
          <w:rFonts w:ascii="Times New Roman" w:hAnsi="Times New Roman" w:eastAsia="Times New Roman" w:cs="Times New Roman"/>
          <w:b/>
          <w:bCs/>
          <w:i/>
          <w:iCs/>
          <w:color w:val="666699"/>
          <w:kern w:val="36"/>
          <w:sz w:val="28"/>
          <w:szCs w:val="28"/>
          <w:lang w:val="uk-UA" w:eastAsia="ru-RU"/>
        </w:rPr>
      </w:pPr>
      <w:r>
        <w:rPr>
          <w:lang w:eastAsia="ru-RU"/>
        </w:rPr>
        <w:drawing>
          <wp:inline distT="0" distB="0" distL="0" distR="0">
            <wp:extent cx="5057775" cy="2788920"/>
            <wp:effectExtent l="19050" t="0" r="9525" b="0"/>
            <wp:docPr id="4" name="Рисунок 4" descr="Картинки на школьную тему для оформления стендов – Ой! — Девчули.ру —  женский журнал от Ю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Картинки на школьную тему для оформления стендов – Ой! — Девчули.ру —  женский журнал от Юли"/>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067583" cy="2794409"/>
                    </a:xfrm>
                    <a:prstGeom prst="rect">
                      <a:avLst/>
                    </a:prstGeom>
                    <a:noFill/>
                    <a:ln>
                      <a:noFill/>
                    </a:ln>
                  </pic:spPr>
                </pic:pic>
              </a:graphicData>
            </a:graphic>
          </wp:inline>
        </w:drawing>
      </w:r>
    </w:p>
    <w:p>
      <w:pPr>
        <w:spacing w:after="0"/>
        <w:jc w:val="center"/>
        <w:outlineLvl w:val="0"/>
        <w:rPr>
          <w:rFonts w:ascii="Times New Roman" w:hAnsi="Times New Roman" w:eastAsia="Times New Roman" w:cs="Times New Roman"/>
          <w:b/>
          <w:bCs/>
          <w:i/>
          <w:iCs/>
          <w:kern w:val="36"/>
          <w:sz w:val="28"/>
          <w:szCs w:val="28"/>
          <w:lang w:val="uk-UA" w:eastAsia="ru-RU"/>
        </w:rPr>
      </w:pPr>
      <w:r>
        <w:rPr>
          <w:rFonts w:ascii="Times New Roman" w:hAnsi="Times New Roman" w:eastAsia="Times New Roman" w:cs="Times New Roman"/>
          <w:b/>
          <w:bCs/>
          <w:i/>
          <w:iCs/>
          <w:kern w:val="36"/>
          <w:sz w:val="28"/>
          <w:szCs w:val="28"/>
          <w:lang w:val="uk-UA" w:eastAsia="ru-RU"/>
        </w:rPr>
        <w:t>с. Глибочок</w:t>
      </w:r>
    </w:p>
    <w:p>
      <w:pPr>
        <w:spacing w:after="0"/>
        <w:jc w:val="center"/>
        <w:outlineLvl w:val="0"/>
        <w:rPr>
          <w:rFonts w:ascii="Times New Roman" w:hAnsi="Times New Roman" w:eastAsia="Times New Roman" w:cs="Times New Roman"/>
          <w:b/>
          <w:bCs/>
          <w:iCs/>
          <w:kern w:val="36"/>
          <w:sz w:val="36"/>
          <w:szCs w:val="36"/>
          <w:lang w:val="uk-UA" w:eastAsia="ru-RU"/>
        </w:rPr>
      </w:pPr>
      <w:r>
        <w:rPr>
          <w:rFonts w:ascii="Times New Roman" w:hAnsi="Times New Roman" w:eastAsia="Times New Roman" w:cs="Times New Roman"/>
          <w:b/>
          <w:bCs/>
          <w:i/>
          <w:iCs/>
          <w:kern w:val="36"/>
          <w:sz w:val="28"/>
          <w:szCs w:val="28"/>
          <w:lang w:val="uk-UA" w:eastAsia="ru-RU"/>
        </w:rPr>
        <w:t>2021</w:t>
      </w:r>
    </w:p>
    <w:p>
      <w:pPr>
        <w:spacing w:after="0"/>
        <w:outlineLvl w:val="0"/>
        <w:rPr>
          <w:rFonts w:ascii="Times New Roman" w:hAnsi="Times New Roman" w:eastAsia="Times New Roman" w:cs="Times New Roman"/>
          <w:b/>
          <w:bCs/>
          <w:iCs/>
          <w:color w:val="333333"/>
          <w:kern w:val="36"/>
          <w:sz w:val="36"/>
          <w:szCs w:val="36"/>
          <w:lang w:val="uk-UA" w:eastAsia="ru-RU"/>
        </w:rPr>
      </w:pPr>
      <w:r>
        <w:rPr>
          <w:rFonts w:ascii="Times New Roman" w:hAnsi="Times New Roman" w:eastAsia="Times New Roman" w:cs="Times New Roman"/>
          <w:b/>
          <w:bCs/>
          <w:iCs/>
          <w:color w:val="333333"/>
          <w:kern w:val="36"/>
          <w:sz w:val="36"/>
          <w:szCs w:val="36"/>
          <w:lang w:val="uk-UA" w:eastAsia="ru-RU"/>
        </w:rPr>
        <w:t>Вступ</w:t>
      </w:r>
    </w:p>
    <w:p>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Головною метою освітньої діяльності закладу загальної середньої освіти є всебічний розвиток людини як особистості та найвищої цінності суспільства. Досягти даної мети можна, забезпечивши високий рівень якості освіти. </w:t>
      </w:r>
    </w:p>
    <w:p>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eastAsia="ru-RU"/>
        </w:rPr>
        <w:pict>
          <v:roundrect id="_x0000_s1027" o:spid="_x0000_s1027" o:spt="2" style="position:absolute;left:0pt;margin-left:-9.05pt;margin-top:9.1pt;height:173.3pt;width:480.25pt;z-index:251659264;mso-width-relative:page;mso-height-relative:page;" fillcolor="#FFFF66" filled="t" stroked="t" coordsize="21600,21600" arcsize="0.166666666666667">
            <v:path/>
            <v:fill on="t" focussize="0,0"/>
            <v:stroke weight="3pt" color="#0261D4"/>
            <v:imagedata o:title=""/>
            <o:lock v:ext="edit"/>
            <v:textbox>
              <w:txbxContent>
                <w:p>
                  <w:pPr>
                    <w:rPr>
                      <w:rFonts w:ascii="Times New Roman" w:hAnsi="Times New Roman" w:cs="Times New Roman"/>
                      <w:sz w:val="28"/>
                      <w:szCs w:val="28"/>
                    </w:rPr>
                  </w:pPr>
                  <w:r>
                    <w:rPr>
                      <w:rFonts w:ascii="Times New Roman" w:hAnsi="Times New Roman" w:cs="Times New Roman"/>
                      <w:sz w:val="28"/>
                      <w:szCs w:val="28"/>
                    </w:rPr>
                    <w:t>Закон України «Про освіту» визначає якість освіти як «відповідність результатів навчання вимогам, встановленим законодавством, відповідним стандартом освіти та/або договором про надання освітніх послуг», а якість освітньої діяльності – як «рівень організації, забезпечення та реалізації освітнього процесу, що забезпечує здобуття особами якісної освіти та відповідає вимогам, встановленим законодавством та/або договором про надання освітніх послуг» (пункти 29, 30 частини 1 статті 1)</w:t>
                  </w:r>
                </w:p>
              </w:txbxContent>
            </v:textbox>
          </v:roundrect>
        </w:pict>
      </w:r>
    </w:p>
    <w:p>
      <w:pPr>
        <w:spacing w:after="0"/>
        <w:ind w:firstLine="708"/>
        <w:jc w:val="both"/>
        <w:rPr>
          <w:rFonts w:ascii="Times New Roman" w:hAnsi="Times New Roman" w:cs="Times New Roman"/>
          <w:sz w:val="28"/>
          <w:szCs w:val="28"/>
          <w:lang w:val="uk-UA"/>
        </w:rPr>
      </w:pPr>
    </w:p>
    <w:p>
      <w:pPr>
        <w:spacing w:after="0"/>
        <w:ind w:firstLine="708"/>
        <w:jc w:val="both"/>
        <w:rPr>
          <w:rFonts w:ascii="Times New Roman" w:hAnsi="Times New Roman" w:cs="Times New Roman"/>
          <w:sz w:val="28"/>
          <w:szCs w:val="28"/>
          <w:lang w:val="uk-UA"/>
        </w:rPr>
      </w:pPr>
    </w:p>
    <w:p>
      <w:pPr>
        <w:spacing w:after="0"/>
        <w:ind w:firstLine="708"/>
        <w:jc w:val="both"/>
        <w:rPr>
          <w:rFonts w:ascii="Times New Roman" w:hAnsi="Times New Roman" w:cs="Times New Roman"/>
          <w:sz w:val="28"/>
          <w:szCs w:val="28"/>
          <w:lang w:val="uk-UA"/>
        </w:rPr>
      </w:pPr>
    </w:p>
    <w:p>
      <w:pPr>
        <w:spacing w:after="0"/>
        <w:ind w:firstLine="708"/>
        <w:jc w:val="both"/>
        <w:rPr>
          <w:rFonts w:ascii="Times New Roman" w:hAnsi="Times New Roman" w:cs="Times New Roman"/>
          <w:sz w:val="28"/>
          <w:szCs w:val="28"/>
          <w:lang w:val="uk-UA"/>
        </w:rPr>
      </w:pPr>
    </w:p>
    <w:p>
      <w:pPr>
        <w:spacing w:after="0"/>
        <w:ind w:firstLine="708"/>
        <w:jc w:val="both"/>
        <w:rPr>
          <w:rFonts w:ascii="Times New Roman" w:hAnsi="Times New Roman" w:cs="Times New Roman"/>
          <w:sz w:val="28"/>
          <w:szCs w:val="28"/>
          <w:lang w:val="uk-UA"/>
        </w:rPr>
      </w:pPr>
    </w:p>
    <w:p>
      <w:pPr>
        <w:spacing w:after="0"/>
        <w:jc w:val="both"/>
        <w:rPr>
          <w:rFonts w:ascii="Times New Roman" w:hAnsi="Times New Roman" w:cs="Times New Roman"/>
          <w:sz w:val="28"/>
          <w:szCs w:val="28"/>
          <w:lang w:val="uk-UA"/>
        </w:rPr>
      </w:pPr>
    </w:p>
    <w:p>
      <w:pPr>
        <w:spacing w:after="0"/>
        <w:jc w:val="both"/>
        <w:rPr>
          <w:rFonts w:ascii="Times New Roman" w:hAnsi="Times New Roman" w:cs="Times New Roman"/>
          <w:sz w:val="28"/>
          <w:szCs w:val="28"/>
          <w:lang w:val="uk-UA"/>
        </w:rPr>
      </w:pPr>
    </w:p>
    <w:p>
      <w:pPr>
        <w:spacing w:after="0"/>
        <w:jc w:val="both"/>
        <w:rPr>
          <w:rFonts w:ascii="Times New Roman" w:hAnsi="Times New Roman" w:cs="Times New Roman"/>
          <w:sz w:val="28"/>
          <w:szCs w:val="28"/>
          <w:lang w:val="uk-UA"/>
        </w:rPr>
      </w:pPr>
    </w:p>
    <w:p>
      <w:pPr>
        <w:spacing w:after="0"/>
        <w:jc w:val="both"/>
        <w:rPr>
          <w:rFonts w:ascii="Times New Roman" w:hAnsi="Times New Roman" w:cs="Times New Roman"/>
          <w:sz w:val="28"/>
          <w:szCs w:val="28"/>
          <w:lang w:val="uk-UA"/>
        </w:rPr>
      </w:pPr>
    </w:p>
    <w:p>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Якість освітнього процесу (діяльності) є невід’ємною складовою якості освіти, яка залежить від якості освітнього середовища, включає якісні і кількісні характеристики освітнього процесу, якість професійної компетентності викладачів, якість організаційно - управлінської компетентності.</w:t>
      </w:r>
    </w:p>
    <w:p>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Кожен заклад освіти має свої особливості – тип, рівень освіти, умови діяльності, фінансування, місцезнаходження, освітня програма тощо. Усі ці складові впливають на формування для кожного закладу внутрішньої системи забезпечення якості освітньої діяльності і якості освіти. </w:t>
      </w:r>
    </w:p>
    <w:p>
      <w:pPr>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Якість освіти залежить від оптимального добору педагогічних кадрів, мотивуючого освітнього середовища, використання освітніх технологій, спрямованих на оволодіння ключовими компетентностями, сприятливої для творчої роботи психологічної атмосфери. </w:t>
      </w:r>
      <w:r>
        <w:rPr>
          <w:rFonts w:ascii="Times New Roman" w:hAnsi="Times New Roman" w:cs="Times New Roman"/>
          <w:sz w:val="28"/>
          <w:szCs w:val="28"/>
        </w:rPr>
        <w:t>Зниження якості хоча б одного названого компоненту знизить у цілому якість освіти. Постійне вдосконалення. Розбудова внутрішньої системи забезпечення якості освітньої діяльності та якості освіти – це постійний процес, за допомогою якого відбувається вдосконалення освітньої діяльності, підтримується дієвість закладу, забезпечується відповідність змінам у освітній сфері, створюються нові можливості тощо. Вплив зовнішніх чинників. Система освітньої діяльності у закладі освіти не є замкнутою, на неї безпосередньо впливають зовнішні чинники – засновник, місцева громада, освітня політика держави. Гнучкість і адаптивність. Система освітньої діяльності змінюється під впливом сучасних тенденцій розвитку</w:t>
      </w:r>
      <w:r>
        <w:t xml:space="preserve"> </w:t>
      </w:r>
      <w:r>
        <w:rPr>
          <w:rFonts w:ascii="Times New Roman" w:hAnsi="Times New Roman" w:cs="Times New Roman"/>
          <w:sz w:val="28"/>
          <w:szCs w:val="28"/>
        </w:rPr>
        <w:t>суспільства.</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Внутрішня система забезпечення якості освіти передбачає цілий комплекс заходів та розроблена з метою створення дієвої системи управління якістю освіти у школі. </w:t>
      </w:r>
      <w:r>
        <w:rPr>
          <w:rFonts w:ascii="Times New Roman" w:hAnsi="Times New Roman" w:eastAsia="Times New Roman" w:cs="Times New Roman"/>
          <w:sz w:val="28"/>
          <w:szCs w:val="28"/>
          <w:lang w:eastAsia="ru-RU"/>
        </w:rPr>
        <w:t>Під час здійснення внутрішньої системи забезпечення якості освіти необхідно спиратися на такі принципи:</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i/>
          <w:sz w:val="28"/>
          <w:szCs w:val="28"/>
          <w:u w:val="single"/>
          <w:shd w:val="clear" w:color="auto" w:fill="EEECE1" w:themeFill="background2"/>
          <w:lang w:eastAsia="ru-RU"/>
        </w:rPr>
        <w:t>Дитиноцентризм</w:t>
      </w:r>
      <w:r>
        <w:rPr>
          <w:rFonts w:ascii="Times New Roman" w:hAnsi="Times New Roman" w:eastAsia="Times New Roman" w:cs="Times New Roman"/>
          <w:i/>
          <w:sz w:val="28"/>
          <w:szCs w:val="28"/>
          <w:u w:val="single"/>
          <w:lang w:val="uk-UA" w:eastAsia="ru-RU"/>
        </w:rPr>
        <w:t xml:space="preserve"> – </w:t>
      </w:r>
      <w:r>
        <w:rPr>
          <w:rFonts w:ascii="Times New Roman" w:hAnsi="Times New Roman" w:eastAsia="Times New Roman" w:cs="Times New Roman"/>
          <w:sz w:val="28"/>
          <w:szCs w:val="28"/>
          <w:lang w:val="uk-UA" w:eastAsia="ru-RU"/>
        </w:rPr>
        <w:t>тому що</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sz w:val="28"/>
          <w:szCs w:val="28"/>
          <w:lang w:val="uk-UA" w:eastAsia="ru-RU"/>
        </w:rPr>
        <w:t>г</w:t>
      </w:r>
      <w:r>
        <w:rPr>
          <w:rFonts w:ascii="Times New Roman" w:hAnsi="Times New Roman" w:eastAsia="Times New Roman" w:cs="Times New Roman"/>
          <w:sz w:val="28"/>
          <w:szCs w:val="28"/>
          <w:lang w:eastAsia="ru-RU"/>
        </w:rPr>
        <w:t>оловним суб’єктом, на якого спрямована освітня діяльність школи, є дитина.</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2. </w:t>
      </w:r>
      <w:r>
        <w:rPr>
          <w:rFonts w:ascii="Times New Roman" w:hAnsi="Times New Roman" w:eastAsia="Times New Roman" w:cs="Times New Roman"/>
          <w:i/>
          <w:sz w:val="28"/>
          <w:szCs w:val="28"/>
          <w:u w:val="single"/>
          <w:shd w:val="clear" w:color="auto" w:fill="EEECE1" w:themeFill="background2"/>
          <w:lang w:val="uk-UA" w:eastAsia="ru-RU"/>
        </w:rPr>
        <w:t>Автономія закладу освіти</w:t>
      </w:r>
      <w:r>
        <w:rPr>
          <w:rFonts w:ascii="Times New Roman" w:hAnsi="Times New Roman" w:eastAsia="Times New Roman" w:cs="Times New Roman"/>
          <w:sz w:val="28"/>
          <w:szCs w:val="28"/>
          <w:lang w:val="uk-UA" w:eastAsia="ru-RU"/>
        </w:rPr>
        <w:t xml:space="preserve"> - яка передбачає самостійність у виборі форм і методів навчання, визначення стратегії і напрямів розвитку закладу освіти, які відповідають нормативно - правовим документам, Державним стандартам загальної середньої освіти.</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3. </w:t>
      </w:r>
      <w:r>
        <w:rPr>
          <w:rFonts w:ascii="Times New Roman" w:hAnsi="Times New Roman" w:eastAsia="Times New Roman" w:cs="Times New Roman"/>
          <w:i/>
          <w:sz w:val="28"/>
          <w:szCs w:val="28"/>
          <w:u w:val="single"/>
          <w:shd w:val="clear" w:color="auto" w:fill="EEECE1" w:themeFill="background2"/>
          <w:lang w:val="uk-UA" w:eastAsia="ru-RU"/>
        </w:rPr>
        <w:t>Цілісність системи управління якістю</w:t>
      </w:r>
      <w:r>
        <w:rPr>
          <w:rFonts w:ascii="Times New Roman" w:hAnsi="Times New Roman" w:eastAsia="Times New Roman" w:cs="Times New Roman"/>
          <w:i/>
          <w:sz w:val="28"/>
          <w:szCs w:val="28"/>
          <w:u w:val="single"/>
          <w:lang w:val="uk-UA" w:eastAsia="ru-RU"/>
        </w:rPr>
        <w:t xml:space="preserve"> -</w:t>
      </w:r>
      <w:r>
        <w:rPr>
          <w:rFonts w:ascii="Times New Roman" w:hAnsi="Times New Roman" w:eastAsia="Times New Roman" w:cs="Times New Roman"/>
          <w:sz w:val="28"/>
          <w:szCs w:val="28"/>
          <w:lang w:val="uk-UA" w:eastAsia="ru-RU"/>
        </w:rPr>
        <w:t xml:space="preserve"> так як усі компоненти діяльності закладу освіти взаємопов’язані, це створює взаємозалежність між ними.</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4. </w:t>
      </w:r>
      <w:r>
        <w:rPr>
          <w:rFonts w:ascii="Times New Roman" w:hAnsi="Times New Roman" w:eastAsia="Times New Roman" w:cs="Times New Roman"/>
          <w:i/>
          <w:sz w:val="28"/>
          <w:szCs w:val="28"/>
          <w:u w:val="single"/>
          <w:shd w:val="clear" w:color="auto" w:fill="EEECE1" w:themeFill="background2"/>
          <w:lang w:eastAsia="ru-RU"/>
        </w:rPr>
        <w:t>Постійне вдосконалення</w:t>
      </w:r>
      <w:r>
        <w:rPr>
          <w:rFonts w:ascii="Times New Roman" w:hAnsi="Times New Roman" w:eastAsia="Times New Roman" w:cs="Times New Roman"/>
          <w:i/>
          <w:sz w:val="28"/>
          <w:szCs w:val="28"/>
          <w:u w:val="single"/>
          <w:lang w:val="uk-UA" w:eastAsia="ru-RU"/>
        </w:rPr>
        <w:t xml:space="preserve"> </w:t>
      </w:r>
      <w:r>
        <w:rPr>
          <w:rFonts w:ascii="Times New Roman" w:hAnsi="Times New Roman" w:eastAsia="Times New Roman" w:cs="Times New Roman"/>
          <w:i/>
          <w:sz w:val="28"/>
          <w:szCs w:val="28"/>
          <w:lang w:val="uk-UA" w:eastAsia="ru-RU"/>
        </w:rPr>
        <w:t xml:space="preserve">– </w:t>
      </w:r>
      <w:r>
        <w:rPr>
          <w:rFonts w:ascii="Times New Roman" w:hAnsi="Times New Roman" w:eastAsia="Times New Roman" w:cs="Times New Roman"/>
          <w:sz w:val="28"/>
          <w:szCs w:val="28"/>
          <w:lang w:val="uk-UA" w:eastAsia="ru-RU"/>
        </w:rPr>
        <w:t>професійне зростання, майстерність та самоосвіта, уміння вчитися разом з дітьми.</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5. </w:t>
      </w:r>
      <w:r>
        <w:rPr>
          <w:rFonts w:ascii="Times New Roman" w:hAnsi="Times New Roman" w:eastAsia="Times New Roman" w:cs="Times New Roman"/>
          <w:i/>
          <w:sz w:val="28"/>
          <w:szCs w:val="28"/>
          <w:u w:val="single"/>
          <w:shd w:val="clear" w:color="auto" w:fill="EEECE1" w:themeFill="background2"/>
          <w:lang w:val="uk-UA" w:eastAsia="ru-RU"/>
        </w:rPr>
        <w:t>Вплив зовнішніх чинників</w:t>
      </w:r>
      <w:r>
        <w:rPr>
          <w:rFonts w:ascii="Times New Roman" w:hAnsi="Times New Roman" w:eastAsia="Times New Roman" w:cs="Times New Roman"/>
          <w:i/>
          <w:sz w:val="28"/>
          <w:szCs w:val="28"/>
          <w:lang w:val="uk-UA" w:eastAsia="ru-RU"/>
        </w:rPr>
        <w:t xml:space="preserve"> – </w:t>
      </w:r>
      <w:r>
        <w:rPr>
          <w:rFonts w:ascii="Times New Roman" w:hAnsi="Times New Roman" w:eastAsia="Times New Roman" w:cs="Times New Roman"/>
          <w:sz w:val="28"/>
          <w:szCs w:val="28"/>
          <w:lang w:val="uk-UA" w:eastAsia="ru-RU"/>
        </w:rPr>
        <w:t>уміти приймати суспільні виклики, бути готовим до змін.</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6. </w:t>
      </w:r>
      <w:r>
        <w:rPr>
          <w:rFonts w:ascii="Times New Roman" w:hAnsi="Times New Roman" w:eastAsia="Times New Roman" w:cs="Times New Roman"/>
          <w:i/>
          <w:sz w:val="28"/>
          <w:szCs w:val="28"/>
          <w:u w:val="single"/>
          <w:shd w:val="clear" w:color="auto" w:fill="EEECE1" w:themeFill="background2"/>
          <w:lang w:val="uk-UA" w:eastAsia="ru-RU"/>
        </w:rPr>
        <w:t>Гнучкість і адаптивність</w:t>
      </w:r>
      <w:r>
        <w:rPr>
          <w:rFonts w:ascii="Times New Roman" w:hAnsi="Times New Roman" w:eastAsia="Times New Roman" w:cs="Times New Roman"/>
          <w:sz w:val="28"/>
          <w:szCs w:val="28"/>
          <w:lang w:val="uk-UA" w:eastAsia="ru-RU"/>
        </w:rPr>
        <w:t xml:space="preserve"> – уміння адаптуватись до постійних змін,бути в тренді усіх важливих освітянських нововведень, бути готовим до різних соціальних контактів, відкритість, комунікабельність.</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Положення виокремлює основні напрямки, які підлягають оцінюванню: стандарти і критерії, за якими здійснюється - само та оцінювання діяльності.</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В ході реалізації Положення можна використовувати різні підходи до самооцінювання: кількісний, описовий і комбінований, тобто поєднання кількісного й описового. </w:t>
      </w:r>
      <w:r>
        <w:rPr>
          <w:rFonts w:ascii="Times New Roman" w:hAnsi="Times New Roman" w:eastAsia="Times New Roman" w:cs="Times New Roman"/>
          <w:sz w:val="28"/>
          <w:szCs w:val="28"/>
          <w:lang w:eastAsia="ru-RU"/>
        </w:rPr>
        <w:t>За необхідності рівень освітньої діяльності, визначений описово, легко трансформується у кількісну оцінку.</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Для вивчення якості освітньої діяльності у закладі використовуються такі методи збору інформації та інструменти:</w:t>
      </w:r>
    </w:p>
    <w:p>
      <w:pPr>
        <w:pStyle w:val="26"/>
        <w:numPr>
          <w:ilvl w:val="0"/>
          <w:numId w:val="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опитування (анкетування учасників освітнього процесу педагогів, учнів, батьків);</w:t>
      </w:r>
    </w:p>
    <w:p>
      <w:pPr>
        <w:pStyle w:val="26"/>
        <w:numPr>
          <w:ilvl w:val="0"/>
          <w:numId w:val="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інтерв’ю </w:t>
      </w:r>
      <w:r>
        <w:rPr>
          <w:rFonts w:ascii="Times New Roman" w:hAnsi="Times New Roman" w:eastAsia="Times New Roman" w:cs="Times New Roman"/>
          <w:sz w:val="28"/>
          <w:szCs w:val="28"/>
          <w:lang w:eastAsia="ru-RU"/>
        </w:rPr>
        <w:t>(з педагогічними працівниками, представниками учнівського самоврядування)</w:t>
      </w:r>
      <w:r>
        <w:rPr>
          <w:rFonts w:ascii="Times New Roman" w:hAnsi="Times New Roman" w:eastAsia="Times New Roman" w:cs="Times New Roman"/>
          <w:sz w:val="28"/>
          <w:szCs w:val="28"/>
          <w:lang w:val="uk-UA" w:eastAsia="ru-RU"/>
        </w:rPr>
        <w:t>;</w:t>
      </w:r>
    </w:p>
    <w:p>
      <w:pPr>
        <w:pStyle w:val="26"/>
        <w:numPr>
          <w:ilvl w:val="0"/>
          <w:numId w:val="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фокус</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групи (з батьками, учнями, представниками учнівського самоврядування, педагогами);</w:t>
      </w:r>
    </w:p>
    <w:p>
      <w:pPr>
        <w:pStyle w:val="26"/>
        <w:numPr>
          <w:ilvl w:val="0"/>
          <w:numId w:val="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в</w:t>
      </w:r>
      <w:r>
        <w:rPr>
          <w:rFonts w:ascii="Times New Roman" w:hAnsi="Times New Roman" w:eastAsia="Times New Roman" w:cs="Times New Roman"/>
          <w:sz w:val="28"/>
          <w:szCs w:val="28"/>
          <w:lang w:eastAsia="ru-RU"/>
        </w:rPr>
        <w:t>ивчення документації (річний план роботи, протоколи засідань</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педагогічної ради, класні журнали тощо</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w:t>
      </w:r>
    </w:p>
    <w:p>
      <w:pPr>
        <w:pStyle w:val="26"/>
        <w:numPr>
          <w:ilvl w:val="0"/>
          <w:numId w:val="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м</w:t>
      </w:r>
      <w:r>
        <w:rPr>
          <w:rFonts w:ascii="Times New Roman" w:hAnsi="Times New Roman" w:eastAsia="Times New Roman" w:cs="Times New Roman"/>
          <w:sz w:val="28"/>
          <w:szCs w:val="28"/>
          <w:lang w:eastAsia="ru-RU"/>
        </w:rPr>
        <w:t>оніторинги (навчальних досягнень здобувачів освіти, педагогічної</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діяльності</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спостереження за проведенням навчальних занять, за освітнім середовищем, санітарно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гігієнічн</w:t>
      </w:r>
      <w:r>
        <w:rPr>
          <w:rFonts w:ascii="Times New Roman" w:hAnsi="Times New Roman" w:eastAsia="Times New Roman" w:cs="Times New Roman"/>
          <w:sz w:val="28"/>
          <w:szCs w:val="28"/>
          <w:lang w:val="uk-UA" w:eastAsia="ru-RU"/>
        </w:rPr>
        <w:t>ими</w:t>
      </w:r>
      <w:r>
        <w:rPr>
          <w:rFonts w:ascii="Times New Roman" w:hAnsi="Times New Roman" w:eastAsia="Times New Roman" w:cs="Times New Roman"/>
          <w:sz w:val="28"/>
          <w:szCs w:val="28"/>
          <w:lang w:eastAsia="ru-RU"/>
        </w:rPr>
        <w:t xml:space="preserve"> умов</w:t>
      </w:r>
      <w:r>
        <w:rPr>
          <w:rFonts w:ascii="Times New Roman" w:hAnsi="Times New Roman" w:eastAsia="Times New Roman" w:cs="Times New Roman"/>
          <w:sz w:val="28"/>
          <w:szCs w:val="28"/>
          <w:lang w:val="uk-UA" w:eastAsia="ru-RU"/>
        </w:rPr>
        <w:t>ами</w:t>
      </w:r>
      <w:r>
        <w:rPr>
          <w:rFonts w:ascii="Times New Roman" w:hAnsi="Times New Roman" w:eastAsia="Times New Roman" w:cs="Times New Roman"/>
          <w:sz w:val="28"/>
          <w:szCs w:val="28"/>
          <w:lang w:eastAsia="ru-RU"/>
        </w:rPr>
        <w:t>, стан забезпечення навчальних приміщень, безпека спортивних та ігрових майданчиків, робота їдальні, вплив середовища на навчальну діяльність тощо);</w:t>
      </w:r>
    </w:p>
    <w:p>
      <w:pPr>
        <w:pStyle w:val="26"/>
        <w:numPr>
          <w:ilvl w:val="0"/>
          <w:numId w:val="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а</w:t>
      </w:r>
      <w:r>
        <w:rPr>
          <w:rFonts w:ascii="Times New Roman" w:hAnsi="Times New Roman" w:eastAsia="Times New Roman" w:cs="Times New Roman"/>
          <w:sz w:val="28"/>
          <w:szCs w:val="28"/>
          <w:lang w:eastAsia="ru-RU"/>
        </w:rPr>
        <w:t>наліз даних та показників, які впливають на освітню діяльність</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(система оцінювання навчальних досягнень учнів, підсумкове оцінювання учнів, фінансування закладу освіти, кількісно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якісний кваліфікаційний склад педагогічних працівників тощо);</w:t>
      </w:r>
    </w:p>
    <w:p>
      <w:pPr>
        <w:pStyle w:val="26"/>
        <w:numPr>
          <w:ilvl w:val="0"/>
          <w:numId w:val="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інші інструменти, не заперечені законодавством.</w:t>
      </w:r>
    </w:p>
    <w:p>
      <w:pPr>
        <w:spacing w:after="0"/>
        <w:ind w:firstLine="36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Основними показниками, які підлягають контрольно - оцінній діяльності, є стандарти, визначені Державною службою якості освіти України для проведення аудиту (освітнє середовище, педагогічна діяльність, система оцінювання учнів і управлінські процеси). Контрольно - оціночна діяльність проводиться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діяльності, пройти цими шляхами - і отримати якісний результат.</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Терміни контрольно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оцін</w:t>
      </w:r>
      <w:r>
        <w:rPr>
          <w:rFonts w:ascii="Times New Roman" w:hAnsi="Times New Roman" w:eastAsia="Times New Roman" w:cs="Times New Roman"/>
          <w:sz w:val="28"/>
          <w:szCs w:val="28"/>
          <w:lang w:val="uk-UA" w:eastAsia="ru-RU"/>
        </w:rPr>
        <w:t>очн</w:t>
      </w:r>
      <w:r>
        <w:rPr>
          <w:rFonts w:ascii="Times New Roman" w:hAnsi="Times New Roman" w:eastAsia="Times New Roman" w:cs="Times New Roman"/>
          <w:sz w:val="28"/>
          <w:szCs w:val="28"/>
          <w:lang w:eastAsia="ru-RU"/>
        </w:rPr>
        <w:t>ої діяльності вказані у Циклограмі, яка є складовою загальної ВСЗЯО.</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Отримані результати вивчення внутрішньої системи забезпечення якості освітньої діяльності є складовою звіту керівника перед громадськістю; може бути розглянутий на засіданні педагогічної ради. </w:t>
      </w:r>
      <w:r>
        <w:rPr>
          <w:rFonts w:ascii="Times New Roman" w:hAnsi="Times New Roman" w:eastAsia="Times New Roman" w:cs="Times New Roman"/>
          <w:sz w:val="28"/>
          <w:szCs w:val="28"/>
          <w:lang w:eastAsia="ru-RU"/>
        </w:rPr>
        <w:t>Щорічний звіт оприлюднюється на сайті закладу.</w:t>
      </w: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outlineLvl w:val="4"/>
        <w:rPr>
          <w:rFonts w:ascii="Times New Roman" w:hAnsi="Times New Roman" w:eastAsia="Times New Roman" w:cs="Times New Roman"/>
          <w:sz w:val="28"/>
          <w:szCs w:val="28"/>
          <w:lang w:val="uk-UA" w:eastAsia="ru-RU"/>
        </w:rPr>
      </w:pPr>
    </w:p>
    <w:p>
      <w:pPr>
        <w:spacing w:after="0"/>
        <w:outlineLvl w:val="4"/>
        <w:rPr>
          <w:rFonts w:ascii="Times New Roman" w:hAnsi="Times New Roman" w:eastAsia="Times New Roman" w:cs="Times New Roman"/>
          <w:b/>
          <w:bCs/>
          <w:sz w:val="28"/>
          <w:szCs w:val="28"/>
          <w:lang w:val="uk-UA" w:eastAsia="ru-RU"/>
        </w:rPr>
      </w:pPr>
    </w:p>
    <w:p>
      <w:pPr>
        <w:spacing w:after="0"/>
        <w:jc w:val="center"/>
        <w:outlineLvl w:val="4"/>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val="uk-UA" w:eastAsia="ru-RU"/>
        </w:rPr>
        <w:t>ЗМІСТ</w:t>
      </w:r>
    </w:p>
    <w:p>
      <w:pPr>
        <w:spacing w:after="0"/>
        <w:jc w:val="center"/>
        <w:outlineLvl w:val="4"/>
        <w:rPr>
          <w:rFonts w:ascii="Times New Roman" w:hAnsi="Times New Roman" w:eastAsia="Times New Roman" w:cs="Times New Roman"/>
          <w:b/>
          <w:bCs/>
          <w:sz w:val="28"/>
          <w:szCs w:val="28"/>
          <w:lang w:val="uk-UA" w:eastAsia="ru-RU"/>
        </w:rPr>
      </w:pPr>
    </w:p>
    <w:p>
      <w:pPr>
        <w:spacing w:after="0"/>
        <w:jc w:val="both"/>
        <w:outlineLvl w:val="4"/>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Блок І</w:t>
      </w:r>
      <w:r>
        <w:rPr>
          <w:rFonts w:ascii="Times New Roman" w:hAnsi="Times New Roman" w:eastAsia="Times New Roman" w:cs="Times New Roman"/>
          <w:b/>
          <w:bCs/>
          <w:sz w:val="28"/>
          <w:szCs w:val="28"/>
          <w:lang w:val="uk-UA" w:eastAsia="ru-RU"/>
        </w:rPr>
        <w:t>. Освітнє середовище закладу освіти.</w:t>
      </w:r>
      <w:r>
        <w:rPr>
          <w:rFonts w:ascii="Times New Roman" w:hAnsi="Times New Roman" w:eastAsia="Times New Roman" w:cs="Times New Roman"/>
          <w:b/>
          <w:bCs/>
          <w:sz w:val="28"/>
          <w:szCs w:val="28"/>
          <w:lang w:eastAsia="ru-RU"/>
        </w:rPr>
        <w:t xml:space="preserve"> </w:t>
      </w:r>
    </w:p>
    <w:p>
      <w:pPr>
        <w:spacing w:after="0"/>
        <w:ind w:firstLine="700" w:firstLineChars="250"/>
        <w:jc w:val="both"/>
        <w:outlineLvl w:val="4"/>
        <w:rPr>
          <w:rFonts w:ascii="Times New Roman" w:hAnsi="Times New Roman" w:eastAsia="Times New Roman" w:cs="Times New Roman"/>
          <w:b/>
          <w:bCs/>
          <w:sz w:val="28"/>
          <w:szCs w:val="28"/>
          <w:lang w:val="uk-UA" w:eastAsia="ru-RU"/>
        </w:rPr>
      </w:pPr>
      <w:r>
        <w:rPr>
          <w:rFonts w:ascii="Times New Roman" w:hAnsi="Times New Roman" w:eastAsia="Times New Roman" w:cs="Times New Roman"/>
          <w:b/>
          <w:bCs/>
          <w:sz w:val="28"/>
          <w:szCs w:val="28"/>
          <w:lang w:eastAsia="ru-RU"/>
        </w:rPr>
        <w:t>«Правила для учасників освітнього процесу»</w:t>
      </w:r>
      <w:r>
        <w:rPr>
          <w:rFonts w:ascii="Times New Roman" w:hAnsi="Times New Roman" w:eastAsia="Times New Roman" w:cs="Times New Roman"/>
          <w:b/>
          <w:bCs/>
          <w:sz w:val="28"/>
          <w:szCs w:val="28"/>
          <w:lang w:val="uk-UA" w:eastAsia="ru-RU"/>
        </w:rPr>
        <w:t>:</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1.1.Правила для учнів</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1.2.Кодекс корпоративної етики учасників освітнього процесу</w:t>
      </w:r>
    </w:p>
    <w:p>
      <w:pPr>
        <w:spacing w:after="0"/>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eastAsia="ru-RU"/>
        </w:rPr>
        <w:t>Блок ІІ</w:t>
      </w:r>
      <w:r>
        <w:rPr>
          <w:rFonts w:ascii="Times New Roman" w:hAnsi="Times New Roman" w:eastAsia="Times New Roman" w:cs="Times New Roman"/>
          <w:b/>
          <w:sz w:val="28"/>
          <w:szCs w:val="28"/>
          <w:lang w:val="uk-UA" w:eastAsia="ru-RU"/>
        </w:rPr>
        <w:t>.</w:t>
      </w:r>
      <w:r>
        <w:rPr>
          <w:rFonts w:ascii="Times New Roman" w:hAnsi="Times New Roman" w:eastAsia="Times New Roman" w:cs="Times New Roman"/>
          <w:b/>
          <w:sz w:val="28"/>
          <w:szCs w:val="28"/>
          <w:lang w:eastAsia="ru-RU"/>
        </w:rPr>
        <w:t xml:space="preserve"> </w:t>
      </w:r>
      <w:r>
        <w:rPr>
          <w:rFonts w:ascii="Times New Roman" w:hAnsi="Times New Roman" w:eastAsia="Times New Roman" w:cs="Times New Roman"/>
          <w:b/>
          <w:sz w:val="28"/>
          <w:szCs w:val="28"/>
          <w:lang w:val="uk-UA" w:eastAsia="ru-RU"/>
        </w:rPr>
        <w:t>Система оцінювання здобувачів освіти.</w:t>
      </w:r>
    </w:p>
    <w:p>
      <w:pPr>
        <w:spacing w:after="0"/>
        <w:ind w:firstLine="700" w:firstLineChars="250"/>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«Критерії оцінювання діяльності учнів і вчителів»</w:t>
      </w:r>
    </w:p>
    <w:p>
      <w:pPr>
        <w:spacing w:after="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Блок ІІІ</w:t>
      </w:r>
      <w:r>
        <w:rPr>
          <w:rFonts w:ascii="Times New Roman" w:hAnsi="Times New Roman" w:eastAsia="Times New Roman" w:cs="Times New Roman"/>
          <w:b/>
          <w:sz w:val="28"/>
          <w:szCs w:val="28"/>
          <w:lang w:val="uk-UA" w:eastAsia="ru-RU"/>
        </w:rPr>
        <w:t>.</w:t>
      </w:r>
      <w:r>
        <w:rPr>
          <w:rFonts w:ascii="Times New Roman" w:hAnsi="Times New Roman" w:eastAsia="Times New Roman" w:cs="Times New Roman"/>
          <w:b/>
          <w:sz w:val="28"/>
          <w:szCs w:val="28"/>
          <w:lang w:eastAsia="ru-RU"/>
        </w:rPr>
        <w:t xml:space="preserve"> «Антибулінгова програма»</w:t>
      </w:r>
    </w:p>
    <w:p>
      <w:pPr>
        <w:spacing w:after="0"/>
        <w:jc w:val="both"/>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Блок ІV</w:t>
      </w:r>
      <w:r>
        <w:rPr>
          <w:rFonts w:ascii="Times New Roman" w:hAnsi="Times New Roman" w:eastAsia="Times New Roman" w:cs="Times New Roman"/>
          <w:b/>
          <w:sz w:val="28"/>
          <w:szCs w:val="28"/>
          <w:lang w:val="uk-UA" w:eastAsia="ru-RU"/>
        </w:rPr>
        <w:t>.</w:t>
      </w:r>
      <w:r>
        <w:rPr>
          <w:rFonts w:ascii="Times New Roman" w:hAnsi="Times New Roman" w:eastAsia="Times New Roman" w:cs="Times New Roman"/>
          <w:b/>
          <w:sz w:val="28"/>
          <w:szCs w:val="28"/>
          <w:lang w:eastAsia="ru-RU"/>
        </w:rPr>
        <w:t xml:space="preserve"> «Управління освітнім процесом</w:t>
      </w:r>
      <w:r>
        <w:rPr>
          <w:rFonts w:ascii="Times New Roman" w:hAnsi="Times New Roman" w:eastAsia="Times New Roman" w:cs="Times New Roman"/>
          <w:b/>
          <w:sz w:val="28"/>
          <w:szCs w:val="28"/>
          <w:lang w:val="uk-UA" w:eastAsia="ru-RU"/>
        </w:rPr>
        <w:t xml:space="preserve"> в закладі освіти</w:t>
      </w:r>
      <w:r>
        <w:rPr>
          <w:rFonts w:ascii="Times New Roman" w:hAnsi="Times New Roman" w:eastAsia="Times New Roman" w:cs="Times New Roman"/>
          <w:b/>
          <w:sz w:val="28"/>
          <w:szCs w:val="28"/>
          <w:lang w:eastAsia="ru-RU"/>
        </w:rPr>
        <w:t>»</w:t>
      </w:r>
    </w:p>
    <w:p>
      <w:pPr>
        <w:spacing w:after="0"/>
        <w:ind w:left="984" w:hanging="980" w:hangingChars="350"/>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eastAsia="ru-RU"/>
        </w:rPr>
        <w:t>Блок V</w:t>
      </w:r>
      <w:r>
        <w:rPr>
          <w:rFonts w:ascii="Times New Roman" w:hAnsi="Times New Roman" w:eastAsia="Times New Roman" w:cs="Times New Roman"/>
          <w:b/>
          <w:sz w:val="28"/>
          <w:szCs w:val="28"/>
          <w:lang w:val="uk-UA" w:eastAsia="ru-RU"/>
        </w:rPr>
        <w:t>. Педагогічна діяльність педагогічних працівників закладу освіти.</w:t>
      </w:r>
      <w:r>
        <w:rPr>
          <w:rFonts w:ascii="Times New Roman" w:hAnsi="Times New Roman" w:eastAsia="Times New Roman" w:cs="Times New Roman"/>
          <w:b/>
          <w:sz w:val="28"/>
          <w:szCs w:val="28"/>
          <w:lang w:eastAsia="ru-RU"/>
        </w:rPr>
        <w:t xml:space="preserve"> «Порядок підвищення кваліфікації педагогічних працівників»</w:t>
      </w:r>
    </w:p>
    <w:p>
      <w:pPr>
        <w:spacing w:after="0"/>
        <w:jc w:val="both"/>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 xml:space="preserve">Блок </w:t>
      </w:r>
      <w:r>
        <w:rPr>
          <w:rFonts w:ascii="Times New Roman" w:hAnsi="Times New Roman" w:eastAsia="Times New Roman" w:cs="Times New Roman"/>
          <w:b/>
          <w:sz w:val="28"/>
          <w:szCs w:val="28"/>
          <w:lang w:eastAsia="ru-RU"/>
        </w:rPr>
        <w:t>V</w:t>
      </w:r>
      <w:r>
        <w:rPr>
          <w:rFonts w:ascii="Times New Roman" w:hAnsi="Times New Roman" w:eastAsia="Times New Roman" w:cs="Times New Roman"/>
          <w:b/>
          <w:sz w:val="28"/>
          <w:szCs w:val="28"/>
          <w:lang w:val="uk-UA" w:eastAsia="ru-RU"/>
        </w:rPr>
        <w:t>І. «Стратегія реалізації внутрішньої системи забезпечення якості освіти:</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6.1.Стандарти і критерії оцінювання основних напрямків внутрішньої системи забезпечення освіти закладу.</w:t>
      </w:r>
    </w:p>
    <w:p>
      <w:pPr>
        <w:spacing w:after="0"/>
        <w:ind w:firstLine="708"/>
        <w:jc w:val="both"/>
        <w:rPr>
          <w:lang w:val="uk-UA"/>
        </w:rPr>
      </w:pPr>
      <w:r>
        <w:rPr>
          <w:rFonts w:ascii="Times New Roman" w:hAnsi="Times New Roman" w:eastAsia="Times New Roman" w:cs="Times New Roman"/>
          <w:sz w:val="28"/>
          <w:szCs w:val="28"/>
          <w:lang w:eastAsia="ru-RU"/>
        </w:rPr>
        <w:t>6.2.Циклограма контрольно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оцінювальної діяльності.</w:t>
      </w:r>
    </w:p>
    <w:p>
      <w:pPr>
        <w:tabs>
          <w:tab w:val="left" w:pos="512"/>
        </w:tabs>
        <w:ind w:right="60"/>
        <w:jc w:val="both"/>
        <w:rPr>
          <w:rFonts w:ascii="Times New Roman" w:hAnsi="Times New Roman" w:eastAsia="Times New Roman"/>
          <w:b/>
          <w:sz w:val="32"/>
          <w:szCs w:val="32"/>
          <w:lang w:val="uk-UA"/>
        </w:rPr>
      </w:pPr>
      <w:r>
        <w:rPr>
          <w:rFonts w:ascii="Times New Roman" w:hAnsi="Times New Roman" w:eastAsia="Times New Roman" w:cs="Times New Roman"/>
          <w:b/>
          <w:sz w:val="28"/>
          <w:szCs w:val="28"/>
          <w:lang w:eastAsia="ru-RU"/>
        </w:rPr>
        <w:t>Блок V</w:t>
      </w:r>
      <w:r>
        <w:rPr>
          <w:rFonts w:ascii="Times New Roman" w:hAnsi="Times New Roman" w:eastAsia="Times New Roman" w:cs="Times New Roman"/>
          <w:b/>
          <w:sz w:val="28"/>
          <w:szCs w:val="28"/>
          <w:lang w:val="uk-UA" w:eastAsia="ru-RU"/>
        </w:rPr>
        <w:t>І</w:t>
      </w:r>
      <w:r>
        <w:rPr>
          <w:rFonts w:ascii="Times New Roman" w:hAnsi="Times New Roman" w:eastAsia="Times New Roman" w:cs="Times New Roman"/>
          <w:b/>
          <w:sz w:val="28"/>
          <w:szCs w:val="28"/>
          <w:lang w:eastAsia="ru-RU"/>
        </w:rPr>
        <w:t>І</w:t>
      </w:r>
      <w:r>
        <w:rPr>
          <w:rFonts w:ascii="Times New Roman" w:hAnsi="Times New Roman" w:eastAsia="Times New Roman" w:cs="Times New Roman"/>
          <w:b/>
          <w:sz w:val="28"/>
          <w:szCs w:val="28"/>
          <w:lang w:val="uk-UA" w:eastAsia="ru-RU"/>
        </w:rPr>
        <w:t xml:space="preserve">. </w:t>
      </w:r>
      <w:r>
        <w:rPr>
          <w:rFonts w:ascii="Times New Roman" w:hAnsi="Times New Roman" w:eastAsia="Times New Roman"/>
          <w:b/>
          <w:sz w:val="28"/>
          <w:szCs w:val="28"/>
          <w:lang w:val="uk-UA"/>
        </w:rPr>
        <w:t xml:space="preserve"> Інклюзивне освітнє середовище, універсальний дизайн та розумне пристосування</w:t>
      </w:r>
      <w:r>
        <w:rPr>
          <w:rFonts w:ascii="Times New Roman" w:hAnsi="Times New Roman" w:eastAsia="Times New Roman"/>
          <w:b/>
          <w:sz w:val="32"/>
          <w:szCs w:val="32"/>
          <w:lang w:val="uk-UA"/>
        </w:rPr>
        <w:t xml:space="preserve"> </w:t>
      </w:r>
    </w:p>
    <w:p>
      <w:pPr>
        <w:spacing w:after="0"/>
        <w:ind w:firstLine="708"/>
        <w:jc w:val="both"/>
        <w:rPr>
          <w:lang w:val="uk-UA"/>
        </w:rPr>
      </w:pPr>
    </w:p>
    <w:p>
      <w:pPr>
        <w:spacing w:after="0"/>
        <w:ind w:firstLine="708"/>
        <w:jc w:val="both"/>
        <w:rPr>
          <w:lang w:val="uk-UA"/>
        </w:rPr>
      </w:pPr>
    </w:p>
    <w:p>
      <w:pPr>
        <w:spacing w:after="0"/>
        <w:ind w:firstLine="708"/>
        <w:jc w:val="both"/>
        <w:rPr>
          <w:lang w:val="uk-UA"/>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hd w:val="clear" w:color="auto" w:fill="FFFFFF" w:themeFill="background1"/>
        <w:spacing w:after="0"/>
        <w:jc w:val="center"/>
        <w:rPr>
          <w:rFonts w:ascii="Times New Roman" w:hAnsi="Times New Roman" w:eastAsia="Times New Roman" w:cs="Times New Roman"/>
          <w:b/>
          <w:i/>
          <w:sz w:val="36"/>
          <w:szCs w:val="36"/>
          <w:u w:val="single"/>
          <w:lang w:val="uk-UA" w:eastAsia="ru-RU"/>
        </w:rPr>
      </w:pPr>
      <w:r>
        <w:rPr>
          <w:rFonts w:ascii="Times New Roman" w:hAnsi="Times New Roman" w:eastAsia="Times New Roman" w:cs="Times New Roman"/>
          <w:b/>
          <w:i/>
          <w:sz w:val="36"/>
          <w:szCs w:val="36"/>
          <w:u w:val="single"/>
          <w:lang w:eastAsia="ru-RU"/>
        </w:rPr>
        <w:t>Блок І</w:t>
      </w:r>
      <w:r>
        <w:rPr>
          <w:rFonts w:ascii="Times New Roman" w:hAnsi="Times New Roman" w:eastAsia="Times New Roman" w:cs="Times New Roman"/>
          <w:b/>
          <w:i/>
          <w:sz w:val="36"/>
          <w:szCs w:val="36"/>
          <w:u w:val="single"/>
          <w:lang w:val="uk-UA" w:eastAsia="ru-RU"/>
        </w:rPr>
        <w:t>.</w:t>
      </w:r>
      <w:r>
        <w:rPr>
          <w:rFonts w:ascii="Times New Roman" w:hAnsi="Times New Roman" w:eastAsia="Times New Roman" w:cs="Times New Roman"/>
          <w:b/>
          <w:i/>
          <w:sz w:val="36"/>
          <w:szCs w:val="36"/>
          <w:u w:val="single"/>
          <w:lang w:eastAsia="ru-RU"/>
        </w:rPr>
        <w:t xml:space="preserve"> </w:t>
      </w:r>
      <w:r>
        <w:rPr>
          <w:rFonts w:ascii="Times New Roman" w:hAnsi="Times New Roman" w:eastAsia="Times New Roman" w:cs="Times New Roman"/>
          <w:b/>
          <w:i/>
          <w:sz w:val="36"/>
          <w:szCs w:val="36"/>
          <w:u w:val="single"/>
          <w:lang w:val="uk-UA" w:eastAsia="ru-RU"/>
        </w:rPr>
        <w:t xml:space="preserve">Освітнє середовище  закладу освіти.        </w:t>
      </w:r>
      <w:r>
        <w:rPr>
          <w:rFonts w:ascii="Times New Roman" w:hAnsi="Times New Roman" w:eastAsia="Times New Roman" w:cs="Times New Roman"/>
          <w:b/>
          <w:i/>
          <w:sz w:val="36"/>
          <w:szCs w:val="36"/>
          <w:u w:val="single"/>
          <w:lang w:eastAsia="ru-RU"/>
        </w:rPr>
        <w:t>«Правила для учасників освітнього процесу»</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 Правила поведінки здобувачів освіти</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Правила базуються на чинному законодавстві України:</w:t>
      </w:r>
    </w:p>
    <w:p>
      <w:pPr>
        <w:pStyle w:val="27"/>
        <w:numPr>
          <w:ilvl w:val="0"/>
          <w:numId w:val="2"/>
        </w:numPr>
        <w:spacing w:before="0" w:beforeAutospacing="0" w:after="0" w:afterAutospacing="0" w:line="276" w:lineRule="auto"/>
        <w:jc w:val="both"/>
        <w:rPr>
          <w:sz w:val="28"/>
          <w:szCs w:val="28"/>
        </w:rPr>
      </w:pPr>
      <w:r>
        <w:rPr>
          <w:sz w:val="28"/>
          <w:szCs w:val="28"/>
          <w:lang w:val="uk-UA"/>
        </w:rPr>
        <w:t>Конвенція ООН про права дитини;</w:t>
      </w:r>
    </w:p>
    <w:p>
      <w:pPr>
        <w:pStyle w:val="27"/>
        <w:numPr>
          <w:ilvl w:val="0"/>
          <w:numId w:val="2"/>
        </w:numPr>
        <w:spacing w:before="0" w:beforeAutospacing="0" w:after="0" w:afterAutospacing="0" w:line="276" w:lineRule="auto"/>
        <w:jc w:val="both"/>
        <w:rPr>
          <w:sz w:val="28"/>
          <w:szCs w:val="28"/>
        </w:rPr>
      </w:pPr>
      <w:bookmarkStart w:id="0" w:name="bookmark3"/>
      <w:bookmarkEnd w:id="0"/>
      <w:r>
        <w:rPr>
          <w:sz w:val="28"/>
          <w:szCs w:val="28"/>
          <w:lang w:val="uk-UA"/>
        </w:rPr>
        <w:t>Конституція України;</w:t>
      </w:r>
    </w:p>
    <w:p>
      <w:pPr>
        <w:pStyle w:val="27"/>
        <w:numPr>
          <w:ilvl w:val="0"/>
          <w:numId w:val="2"/>
        </w:numPr>
        <w:spacing w:before="0" w:beforeAutospacing="0" w:after="0" w:afterAutospacing="0" w:line="276" w:lineRule="auto"/>
        <w:jc w:val="both"/>
        <w:rPr>
          <w:sz w:val="28"/>
          <w:szCs w:val="28"/>
        </w:rPr>
      </w:pPr>
      <w:bookmarkStart w:id="1" w:name="bookmark4"/>
      <w:bookmarkEnd w:id="1"/>
      <w:r>
        <w:rPr>
          <w:sz w:val="28"/>
          <w:szCs w:val="28"/>
          <w:lang w:val="uk-UA"/>
        </w:rPr>
        <w:t>Закон України «Про освіту»;</w:t>
      </w:r>
    </w:p>
    <w:p>
      <w:pPr>
        <w:pStyle w:val="27"/>
        <w:numPr>
          <w:ilvl w:val="0"/>
          <w:numId w:val="2"/>
        </w:numPr>
        <w:spacing w:before="0" w:beforeAutospacing="0" w:after="0" w:afterAutospacing="0" w:line="276" w:lineRule="auto"/>
        <w:jc w:val="both"/>
        <w:rPr>
          <w:sz w:val="28"/>
          <w:szCs w:val="28"/>
        </w:rPr>
      </w:pPr>
      <w:bookmarkStart w:id="2" w:name="bookmark5"/>
      <w:bookmarkEnd w:id="2"/>
      <w:r>
        <w:rPr>
          <w:sz w:val="28"/>
          <w:szCs w:val="28"/>
          <w:lang w:val="uk-UA"/>
        </w:rPr>
        <w:t>Закон України «Про загальну середню освіту»;</w:t>
      </w:r>
    </w:p>
    <w:p>
      <w:pPr>
        <w:pStyle w:val="27"/>
        <w:numPr>
          <w:ilvl w:val="0"/>
          <w:numId w:val="2"/>
        </w:numPr>
        <w:spacing w:before="0" w:beforeAutospacing="0" w:after="0" w:afterAutospacing="0" w:line="276" w:lineRule="auto"/>
        <w:jc w:val="both"/>
        <w:rPr>
          <w:sz w:val="28"/>
          <w:szCs w:val="28"/>
        </w:rPr>
      </w:pPr>
      <w:r>
        <w:rPr>
          <w:rStyle w:val="28"/>
          <w:bCs/>
          <w:sz w:val="28"/>
          <w:szCs w:val="28"/>
          <w:shd w:val="clear" w:color="auto" w:fill="FFFFFF"/>
        </w:rPr>
        <w:t>КОНЦЕПЦІЯ</w:t>
      </w:r>
      <w:r>
        <w:rPr>
          <w:sz w:val="28"/>
          <w:szCs w:val="28"/>
          <w:lang w:val="uk-UA"/>
        </w:rPr>
        <w:t xml:space="preserve"> </w:t>
      </w:r>
      <w:r>
        <w:rPr>
          <w:rStyle w:val="28"/>
          <w:bCs/>
          <w:sz w:val="28"/>
          <w:szCs w:val="28"/>
          <w:shd w:val="clear" w:color="auto" w:fill="FFFFFF"/>
        </w:rPr>
        <w:t xml:space="preserve">реалізації державної політики </w:t>
      </w:r>
      <w:r>
        <w:rPr>
          <w:rStyle w:val="28"/>
          <w:bCs/>
          <w:sz w:val="28"/>
          <w:szCs w:val="28"/>
          <w:shd w:val="clear" w:color="auto" w:fill="FFFFFF"/>
          <w:lang w:val="uk-UA"/>
        </w:rPr>
        <w:t>у</w:t>
      </w:r>
      <w:r>
        <w:rPr>
          <w:rStyle w:val="28"/>
          <w:bCs/>
          <w:sz w:val="28"/>
          <w:szCs w:val="28"/>
          <w:shd w:val="clear" w:color="auto" w:fill="FFFFFF"/>
        </w:rPr>
        <w:t xml:space="preserve"> сфері реформування загальної середньої освіти </w:t>
      </w:r>
      <w:r>
        <w:rPr>
          <w:rStyle w:val="28"/>
          <w:bCs/>
          <w:sz w:val="28"/>
          <w:szCs w:val="28"/>
          <w:shd w:val="clear" w:color="auto" w:fill="FFFFFF"/>
          <w:lang w:val="uk-UA"/>
        </w:rPr>
        <w:t>«</w:t>
      </w:r>
      <w:r>
        <w:rPr>
          <w:rStyle w:val="28"/>
          <w:bCs/>
          <w:sz w:val="28"/>
          <w:szCs w:val="28"/>
          <w:shd w:val="clear" w:color="auto" w:fill="FFFFFF"/>
        </w:rPr>
        <w:t>Нова українська школа</w:t>
      </w:r>
      <w:r>
        <w:rPr>
          <w:rStyle w:val="28"/>
          <w:bCs/>
          <w:sz w:val="28"/>
          <w:szCs w:val="28"/>
          <w:shd w:val="clear" w:color="auto" w:fill="FFFFFF"/>
          <w:lang w:val="uk-UA"/>
        </w:rPr>
        <w:t xml:space="preserve">» </w:t>
      </w:r>
      <w:r>
        <w:rPr>
          <w:rStyle w:val="28"/>
          <w:bCs/>
          <w:sz w:val="28"/>
          <w:szCs w:val="28"/>
          <w:shd w:val="clear" w:color="auto" w:fill="FFFFFF"/>
        </w:rPr>
        <w:t>на період до 2029 року</w:t>
      </w:r>
      <w:r>
        <w:rPr>
          <w:rStyle w:val="28"/>
          <w:bCs/>
          <w:sz w:val="28"/>
          <w:szCs w:val="28"/>
          <w:shd w:val="clear" w:color="auto" w:fill="FFFFFF"/>
          <w:lang w:val="uk-UA"/>
        </w:rPr>
        <w:t>;</w:t>
      </w:r>
    </w:p>
    <w:p>
      <w:pPr>
        <w:pStyle w:val="27"/>
        <w:numPr>
          <w:ilvl w:val="0"/>
          <w:numId w:val="2"/>
        </w:numPr>
        <w:spacing w:before="0" w:beforeAutospacing="0" w:after="0" w:afterAutospacing="0" w:line="276" w:lineRule="auto"/>
        <w:ind w:right="380"/>
        <w:jc w:val="both"/>
        <w:rPr>
          <w:sz w:val="28"/>
          <w:szCs w:val="28"/>
        </w:rPr>
      </w:pPr>
      <w:bookmarkStart w:id="3" w:name="bookmark6"/>
      <w:bookmarkEnd w:id="3"/>
      <w:r>
        <w:rPr>
          <w:sz w:val="28"/>
          <w:szCs w:val="28"/>
          <w:lang w:val="uk-UA"/>
        </w:rPr>
        <w:t>Закону України «Про сприяння становлення та розвитку молоді в Україні» зі змінами;</w:t>
      </w:r>
    </w:p>
    <w:p>
      <w:pPr>
        <w:pStyle w:val="27"/>
        <w:numPr>
          <w:ilvl w:val="0"/>
          <w:numId w:val="2"/>
        </w:numPr>
        <w:spacing w:before="0" w:beforeAutospacing="0" w:after="0" w:afterAutospacing="0" w:line="276" w:lineRule="auto"/>
        <w:jc w:val="both"/>
        <w:rPr>
          <w:sz w:val="28"/>
          <w:szCs w:val="28"/>
        </w:rPr>
      </w:pPr>
      <w:bookmarkStart w:id="4" w:name="bookmark7"/>
      <w:bookmarkEnd w:id="4"/>
      <w:r>
        <w:rPr>
          <w:sz w:val="28"/>
          <w:szCs w:val="28"/>
          <w:lang w:val="uk-UA"/>
        </w:rPr>
        <w:t>Національна доктрина розвитку освіти України;</w:t>
      </w:r>
    </w:p>
    <w:p>
      <w:pPr>
        <w:pStyle w:val="27"/>
        <w:numPr>
          <w:ilvl w:val="0"/>
          <w:numId w:val="2"/>
        </w:numPr>
        <w:spacing w:before="0" w:beforeAutospacing="0" w:after="0" w:afterAutospacing="0" w:line="276" w:lineRule="auto"/>
        <w:jc w:val="both"/>
        <w:rPr>
          <w:sz w:val="28"/>
          <w:szCs w:val="28"/>
        </w:rPr>
      </w:pPr>
      <w:bookmarkStart w:id="5" w:name="bookmark8"/>
      <w:bookmarkEnd w:id="5"/>
      <w:r>
        <w:rPr>
          <w:sz w:val="28"/>
          <w:szCs w:val="28"/>
          <w:lang w:val="uk-UA"/>
        </w:rPr>
        <w:t>Національна концепція громадського виховання;</w:t>
      </w:r>
    </w:p>
    <w:p>
      <w:pPr>
        <w:pStyle w:val="27"/>
        <w:numPr>
          <w:ilvl w:val="0"/>
          <w:numId w:val="2"/>
        </w:numPr>
        <w:spacing w:before="0" w:beforeAutospacing="0" w:after="0" w:afterAutospacing="0" w:line="276" w:lineRule="auto"/>
        <w:jc w:val="both"/>
        <w:rPr>
          <w:sz w:val="28"/>
          <w:szCs w:val="28"/>
        </w:rPr>
      </w:pPr>
      <w:bookmarkStart w:id="6" w:name="bookmark9"/>
      <w:bookmarkEnd w:id="6"/>
      <w:r>
        <w:rPr>
          <w:sz w:val="28"/>
          <w:szCs w:val="28"/>
          <w:lang w:val="uk-UA"/>
        </w:rPr>
        <w:t>Національна стратегія розвитку освіти в Україні на період до 2021 року;</w:t>
      </w:r>
    </w:p>
    <w:p>
      <w:pPr>
        <w:pStyle w:val="27"/>
        <w:numPr>
          <w:ilvl w:val="0"/>
          <w:numId w:val="2"/>
        </w:numPr>
        <w:spacing w:before="0" w:beforeAutospacing="0" w:after="0" w:afterAutospacing="0" w:line="276" w:lineRule="auto"/>
        <w:jc w:val="both"/>
        <w:rPr>
          <w:sz w:val="28"/>
          <w:szCs w:val="28"/>
        </w:rPr>
      </w:pPr>
      <w:bookmarkStart w:id="7" w:name="bookmark10"/>
      <w:bookmarkEnd w:id="7"/>
      <w:r>
        <w:rPr>
          <w:sz w:val="28"/>
          <w:szCs w:val="28"/>
          <w:lang w:val="uk-UA"/>
        </w:rPr>
        <w:t>Положення про загальноосвітній навчальний заклад;</w:t>
      </w:r>
    </w:p>
    <w:p>
      <w:pPr>
        <w:pStyle w:val="27"/>
        <w:numPr>
          <w:ilvl w:val="0"/>
          <w:numId w:val="2"/>
        </w:numPr>
        <w:spacing w:before="0" w:beforeAutospacing="0" w:after="0" w:afterAutospacing="0" w:line="276" w:lineRule="auto"/>
        <w:jc w:val="both"/>
        <w:rPr>
          <w:sz w:val="28"/>
          <w:szCs w:val="28"/>
        </w:rPr>
      </w:pPr>
      <w:bookmarkStart w:id="8" w:name="bookmark11"/>
      <w:bookmarkEnd w:id="8"/>
      <w:r>
        <w:rPr>
          <w:sz w:val="28"/>
          <w:szCs w:val="28"/>
          <w:lang w:val="uk-UA"/>
        </w:rPr>
        <w:t>Державний стандарт початкової загальної освіти;</w:t>
      </w:r>
    </w:p>
    <w:p>
      <w:pPr>
        <w:pStyle w:val="27"/>
        <w:numPr>
          <w:ilvl w:val="0"/>
          <w:numId w:val="2"/>
        </w:numPr>
        <w:spacing w:before="0" w:beforeAutospacing="0" w:after="0" w:afterAutospacing="0" w:line="276" w:lineRule="auto"/>
        <w:jc w:val="both"/>
        <w:rPr>
          <w:sz w:val="28"/>
          <w:szCs w:val="28"/>
        </w:rPr>
      </w:pPr>
      <w:r>
        <w:rPr>
          <w:sz w:val="28"/>
          <w:szCs w:val="28"/>
          <w:lang w:val="uk-UA"/>
        </w:rPr>
        <w:t>Державний стандарт базової і повної загальної середньої освіти;</w:t>
      </w:r>
    </w:p>
    <w:p>
      <w:pPr>
        <w:pStyle w:val="27"/>
        <w:numPr>
          <w:ilvl w:val="0"/>
          <w:numId w:val="2"/>
        </w:numPr>
        <w:spacing w:before="0" w:beforeAutospacing="0" w:after="0" w:afterAutospacing="0" w:line="276" w:lineRule="auto"/>
        <w:jc w:val="both"/>
        <w:rPr>
          <w:sz w:val="28"/>
          <w:szCs w:val="28"/>
          <w:lang w:val="uk-UA"/>
        </w:rPr>
      </w:pPr>
      <w:r>
        <w:rPr>
          <w:sz w:val="28"/>
          <w:szCs w:val="28"/>
          <w:lang w:val="uk-UA"/>
        </w:rPr>
        <w:t>Програма національно - патріотичного виховання дітей та учнівської молоді;</w:t>
      </w:r>
    </w:p>
    <w:p>
      <w:pPr>
        <w:pStyle w:val="27"/>
        <w:numPr>
          <w:ilvl w:val="0"/>
          <w:numId w:val="2"/>
        </w:numPr>
        <w:spacing w:before="0" w:beforeAutospacing="0" w:after="0" w:afterAutospacing="0" w:line="276" w:lineRule="auto"/>
        <w:jc w:val="both"/>
        <w:rPr>
          <w:sz w:val="28"/>
          <w:szCs w:val="28"/>
        </w:rPr>
      </w:pPr>
      <w:r>
        <w:rPr>
          <w:sz w:val="28"/>
          <w:szCs w:val="28"/>
          <w:lang w:val="uk-UA"/>
        </w:rPr>
        <w:t xml:space="preserve">«Про молодіжні та дитячі громадські організації»; </w:t>
      </w:r>
    </w:p>
    <w:p>
      <w:pPr>
        <w:pStyle w:val="26"/>
        <w:numPr>
          <w:ilvl w:val="0"/>
          <w:numId w:val="2"/>
        </w:num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«Про охорону дитинства»;</w:t>
      </w:r>
    </w:p>
    <w:p>
      <w:pPr>
        <w:pStyle w:val="26"/>
        <w:numPr>
          <w:ilvl w:val="0"/>
          <w:numId w:val="2"/>
        </w:numPr>
        <w:autoSpaceDE w:val="0"/>
        <w:autoSpaceDN w:val="0"/>
        <w:adjustRightInd w:val="0"/>
        <w:spacing w:after="0"/>
        <w:rPr>
          <w:rFonts w:ascii="Times New Roman" w:hAnsi="Times New Roman" w:cs="Times New Roman"/>
          <w:sz w:val="28"/>
          <w:szCs w:val="28"/>
          <w:lang w:val="uk-UA"/>
        </w:rPr>
      </w:pPr>
      <w:r>
        <w:rPr>
          <w:rFonts w:ascii="Times New Roman" w:hAnsi="Times New Roman" w:cs="Times New Roman"/>
          <w:sz w:val="28"/>
          <w:szCs w:val="28"/>
          <w:lang w:val="uk-UA"/>
        </w:rPr>
        <w:t>Національної Програми «Освіта України ХХІ століття»;</w:t>
      </w:r>
    </w:p>
    <w:p>
      <w:pPr>
        <w:pStyle w:val="26"/>
        <w:numPr>
          <w:ilvl w:val="0"/>
          <w:numId w:val="2"/>
        </w:numPr>
        <w:autoSpaceDE w:val="0"/>
        <w:autoSpaceDN w:val="0"/>
        <w:adjustRightInd w:val="0"/>
        <w:spacing w:after="0"/>
        <w:ind w:left="0" w:firstLine="360"/>
        <w:rPr>
          <w:rFonts w:ascii="Times New Roman" w:hAnsi="Times New Roman" w:cs="Times New Roman"/>
          <w:sz w:val="28"/>
          <w:szCs w:val="28"/>
          <w:lang w:val="uk-UA"/>
        </w:rPr>
      </w:pPr>
      <w:r>
        <w:rPr>
          <w:rFonts w:ascii="Times New Roman" w:hAnsi="Times New Roman" w:cs="Times New Roman"/>
          <w:sz w:val="28"/>
          <w:szCs w:val="28"/>
          <w:lang w:val="uk-UA"/>
        </w:rPr>
        <w:t xml:space="preserve">Національної Програми «Діти України» </w:t>
      </w:r>
      <w:r>
        <w:rPr>
          <w:rFonts w:ascii="Times New Roman" w:hAnsi="Times New Roman" w:eastAsia="Times New Roman" w:cs="Times New Roman"/>
          <w:sz w:val="28"/>
          <w:szCs w:val="28"/>
          <w:lang w:eastAsia="ru-RU"/>
        </w:rPr>
        <w:t>та іншими нормативно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правовими актами чинного законодавства України.</w:t>
      </w:r>
    </w:p>
    <w:p>
      <w:pPr>
        <w:spacing w:after="0"/>
        <w:jc w:val="both"/>
        <w:rPr>
          <w:rFonts w:ascii="Times New Roman" w:hAnsi="Times New Roman" w:eastAsia="Times New Roman" w:cs="Times New Roman"/>
          <w:b/>
          <w:sz w:val="28"/>
          <w:szCs w:val="28"/>
          <w:u w:val="single"/>
          <w:lang w:val="uk-UA" w:eastAsia="ru-RU"/>
        </w:rPr>
      </w:pPr>
      <w:r>
        <w:rPr>
          <w:rFonts w:ascii="Times New Roman" w:hAnsi="Times New Roman" w:eastAsia="Times New Roman" w:cs="Times New Roman"/>
          <w:b/>
          <w:sz w:val="28"/>
          <w:szCs w:val="28"/>
          <w:u w:val="single"/>
          <w:lang w:eastAsia="ru-RU"/>
        </w:rPr>
        <w:t>Правила для учнів</w:t>
      </w:r>
      <w:r>
        <w:rPr>
          <w:rFonts w:ascii="Times New Roman" w:hAnsi="Times New Roman" w:eastAsia="Times New Roman" w:cs="Times New Roman"/>
          <w:b/>
          <w:sz w:val="28"/>
          <w:szCs w:val="28"/>
          <w:u w:val="single"/>
          <w:lang w:val="uk-UA" w:eastAsia="ru-RU"/>
        </w:rPr>
        <w:t>:</w:t>
      </w: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1.«Ми у безпеці»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 Реально оцінюй небезпечні ситуації, задля запобігання травматизму.</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 Знай і дотримуйся правил техніки безпеки як під час уроків, так і після їх закінчення.</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 Пам'ятай про правила поводження з виявленими підозрілими предметами.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1.4. Ознайомся з місцем розміщення та правилами користування планами евакуації.</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1.5. Закінчення заняття після дзвоника, тому під час перерви переходь з одного навчального кабінету до іншого спокійно, без метушні та галасу.</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1.6. Особливо уважним будь під час руху сходами. При пересуванні слід триматися правого боку</w:t>
      </w:r>
      <w:r>
        <w:rPr>
          <w:rFonts w:ascii="Times New Roman" w:hAnsi="Times New Roman" w:eastAsia="Times New Roman" w:cs="Times New Roman"/>
          <w:sz w:val="28"/>
          <w:szCs w:val="28"/>
          <w:lang w:val="uk-UA" w:eastAsia="ru-RU"/>
        </w:rPr>
        <w:t>.</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1.7. Бережи майно школи, акуратно стався як до свого, так і до чужого майна, дотримуються чистоти і порядку на території школи.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1.8. Дотримуйся правил дорожнього руху та поведінки в міському транспорті, громадських місцях.</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1.9. Школа – територія, на якій не місце будь</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яким видам зброї, в т. ч. ножам, вибуховим, вогненебезпечним речовинам, алкогольним напоям, цигаркам, наркотикам, токсичним речовинам.</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1.10. Цькування, бійки, залякування, лихослів’я та знущання над людиною є неприпустимими формами поведінки у школі та за її межами.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1.11. Ти можеш звернутися до свого класного керівника, чергового вчителя за допомогою, якщо проти тебе здійснюються протиправні дії.</w:t>
      </w: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2. «Ми ввічливі»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2.1. Поважай та цінуй себе, оточуючих та навколишнє середовище.</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2.2. Вітайся з персоналом, вчителями та іншими дорослими.</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2.3. Шкільна спільнота ставляться один до одного ввічливо, толерантно, справедливо та з повагою</w:t>
      </w:r>
      <w:r>
        <w:rPr>
          <w:rFonts w:ascii="Times New Roman" w:hAnsi="Times New Roman" w:eastAsia="Times New Roman" w:cs="Times New Roman"/>
          <w:sz w:val="28"/>
          <w:szCs w:val="28"/>
          <w:lang w:val="uk-UA" w:eastAsia="ru-RU"/>
        </w:rPr>
        <w:t>.</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2.4. Поважай цінності своєї школи</w:t>
      </w:r>
      <w:r>
        <w:rPr>
          <w:rFonts w:ascii="Times New Roman" w:hAnsi="Times New Roman" w:eastAsia="Times New Roman" w:cs="Times New Roman"/>
          <w:sz w:val="28"/>
          <w:szCs w:val="28"/>
          <w:lang w:val="uk-UA" w:eastAsia="ru-RU"/>
        </w:rPr>
        <w:t>.</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2.5. Час перерви </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xml:space="preserve"> особистий час кожного, тому ти можеш його проводити за власним розсудом, але так щоб не заважати іншим.</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2.6. Висловлюй свої погляди, не зачіпаючи гідності і почуттів інших людей</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2.7. Проявляй повагу до старших, піклуйся про молодших</w:t>
      </w:r>
      <w:r>
        <w:rPr>
          <w:rFonts w:ascii="Times New Roman" w:hAnsi="Times New Roman" w:eastAsia="Times New Roman" w:cs="Times New Roman"/>
          <w:sz w:val="28"/>
          <w:szCs w:val="28"/>
          <w:lang w:val="uk-UA" w:eastAsia="ru-RU"/>
        </w:rPr>
        <w:t>.</w:t>
      </w:r>
    </w:p>
    <w:p>
      <w:pPr>
        <w:shd w:val="clear" w:color="auto" w:fill="EEECE1" w:themeFill="background2"/>
        <w:spacing w:after="0"/>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eastAsia="ru-RU"/>
        </w:rPr>
        <w:t>3. «Ми – старанні і наполегливі у навчанні»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3.1. Неси відповідальність за підготовку до уроків та пунктуальність, приходь за 15 хв. допочатку занять за розкладом.</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3.2. Ходи </w:t>
      </w:r>
      <w:r>
        <w:rPr>
          <w:rFonts w:ascii="Times New Roman" w:hAnsi="Times New Roman" w:eastAsia="Times New Roman" w:cs="Times New Roman"/>
          <w:sz w:val="28"/>
          <w:szCs w:val="28"/>
          <w:lang w:val="uk-UA" w:eastAsia="ru-RU"/>
        </w:rPr>
        <w:t>у</w:t>
      </w:r>
      <w:r>
        <w:rPr>
          <w:rFonts w:ascii="Times New Roman" w:hAnsi="Times New Roman" w:eastAsia="Times New Roman" w:cs="Times New Roman"/>
          <w:sz w:val="28"/>
          <w:szCs w:val="28"/>
          <w:lang w:eastAsia="ru-RU"/>
        </w:rPr>
        <w:t xml:space="preserve"> чистому, випрасуваному одязі ділового стилю та чистому взутті, з охайною зачіскою.</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3.3. Спортивний одяг, призначений для уроків фізкультури, на інших уроках недоречний.</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3.4. Пам’ятай про зміну сезонів, верхній одяг залишай в роздягальні.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3.5. На урочисті загальношкільні заходи приходь у святковій формі.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3.6. Телефон на уроці використовуй лише для навчання, за вказівкою вчителя.</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3.7. Йти зі школи та її території можна лише з дозволу вчителів або медичної сестри (попередньо узгодивши з батьками).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3.8. У разі пропуску занять пред'яви</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класному керівнику довідку або записку від батьків (осіб, їх заміняють) про причину відсутності на заняттях. У разі пропуску більше трьох днів </w:t>
      </w:r>
      <w:r>
        <w:rPr>
          <w:rFonts w:ascii="Times New Roman" w:hAnsi="Times New Roman" w:eastAsia="Times New Roman" w:cs="Times New Roman"/>
          <w:sz w:val="28"/>
          <w:szCs w:val="28"/>
          <w:lang w:val="uk-UA" w:eastAsia="ru-RU"/>
        </w:rPr>
        <w:t xml:space="preserve">надай </w:t>
      </w:r>
      <w:r>
        <w:rPr>
          <w:rFonts w:ascii="Times New Roman" w:hAnsi="Times New Roman" w:eastAsia="Times New Roman" w:cs="Times New Roman"/>
          <w:sz w:val="28"/>
          <w:szCs w:val="28"/>
          <w:lang w:eastAsia="ru-RU"/>
        </w:rPr>
        <w:t>довідку з медичної установи.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3.9. Досягай стабільно високих результатів у навчанні, працюючи самостійно та в команді</w:t>
      </w:r>
    </w:p>
    <w:p>
      <w:pPr>
        <w:spacing w:after="0"/>
        <w:jc w:val="both"/>
        <w:rPr>
          <w:rFonts w:ascii="Times New Roman" w:hAnsi="Times New Roman" w:eastAsia="Times New Roman" w:cs="Times New Roman"/>
          <w:i/>
          <w:sz w:val="28"/>
          <w:szCs w:val="28"/>
          <w:lang w:val="uk-UA" w:eastAsia="ru-RU"/>
        </w:rPr>
      </w:pP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4. Прикінцеві положення:</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4.1. За порушення цих Правил та Статуту школи учні притягуються до відповідальності, до них можуть бути вжиті такі стягнення: </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 усне зауваження; </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запис зауваження в щоденник; </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винесення догани, включно із занесенням іі в особову справу учня;</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 виклик учня самого або з батьками на засідання Ради профілактики або малої педагогічної ради;</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 відшкодування завданої учнем матеріальної шкоди його батьками.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4.2. Ці Правила розповсюджуються на всіх учнів школи і є обов’язковими для виконання на всій території школи, а також під час усіх заходів, що проводяться</w:t>
      </w:r>
      <w:r>
        <w:rPr>
          <w:rFonts w:ascii="Times New Roman" w:hAnsi="Times New Roman" w:eastAsia="Times New Roman" w:cs="Times New Roman"/>
          <w:sz w:val="28"/>
          <w:szCs w:val="28"/>
          <w:lang w:val="uk-UA" w:eastAsia="ru-RU"/>
        </w:rPr>
        <w:t xml:space="preserve"> навчальним закладом</w:t>
      </w:r>
      <w:r>
        <w:rPr>
          <w:rFonts w:ascii="Times New Roman" w:hAnsi="Times New Roman" w:eastAsia="Times New Roman" w:cs="Times New Roman"/>
          <w:sz w:val="28"/>
          <w:szCs w:val="28"/>
          <w:lang w:eastAsia="ru-RU"/>
        </w:rPr>
        <w:t>.</w:t>
      </w:r>
    </w:p>
    <w:p>
      <w:pPr>
        <w:spacing w:after="0"/>
        <w:jc w:val="both"/>
        <w:rPr>
          <w:rFonts w:ascii="Times New Roman" w:hAnsi="Times New Roman" w:eastAsia="Times New Roman" w:cs="Times New Roman"/>
          <w:b/>
          <w:sz w:val="28"/>
          <w:szCs w:val="28"/>
          <w:u w:val="single"/>
          <w:lang w:eastAsia="ru-RU"/>
        </w:rPr>
      </w:pPr>
      <w:r>
        <w:rPr>
          <w:rFonts w:ascii="Times New Roman" w:hAnsi="Times New Roman" w:eastAsia="Times New Roman" w:cs="Times New Roman"/>
          <w:b/>
          <w:sz w:val="28"/>
          <w:szCs w:val="28"/>
          <w:u w:val="single"/>
          <w:lang w:eastAsia="ru-RU"/>
        </w:rPr>
        <w:t>Правила для вчителів</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Виконуй Статут закладу освіти, правила і режим внутрішнього трудового розпорядку, умови контракту чи трудового договору.</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Настановленням та особистим прикладом виховуй повагу до принципів загальнолюдської моралі (правди, справедливості, відданості, патріотизму, гуманізму, працелюбності, стриманості, доброти та інших доброчинностей).</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Поважай та розвивай традиції школи.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Дотримуйся педагогічної етики, моралі, поважай права учнів.</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Ти маєш пам’ятати, що по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старому вже не буде. Тому, бери новий освітній продукт в руки і адаптуй його під себе.</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 Пильність і бажання вчитися – запорука майбутнього успіху вчителя в НУШ.</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7. Соціальні мережі – трансляція твого життя, не забувай, що ти приклад для наслідування.</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8.</w:t>
      </w:r>
      <w:r>
        <w:rPr>
          <w:rFonts w:ascii="Times New Roman" w:hAnsi="Times New Roman" w:cs="Times New Roman"/>
          <w:sz w:val="28"/>
          <w:szCs w:val="28"/>
          <w:lang w:val="uk-UA"/>
        </w:rPr>
        <w:t>Забезпечення академічної</w:t>
      </w:r>
      <w:r>
        <w:rPr>
          <w:rFonts w:ascii="Times New Roman" w:hAnsi="Times New Roman" w:cs="Times New Roman"/>
          <w:spacing w:val="-20"/>
          <w:sz w:val="28"/>
          <w:szCs w:val="28"/>
          <w:lang w:val="uk-UA"/>
        </w:rPr>
        <w:t xml:space="preserve"> </w:t>
      </w:r>
      <w:r>
        <w:rPr>
          <w:rFonts w:ascii="Times New Roman" w:hAnsi="Times New Roman" w:cs="Times New Roman"/>
          <w:sz w:val="28"/>
          <w:szCs w:val="28"/>
          <w:lang w:val="uk-UA"/>
        </w:rPr>
        <w:t>доброчесності</w:t>
      </w:r>
    </w:p>
    <w:p>
      <w:pPr>
        <w:pStyle w:val="14"/>
        <w:spacing w:after="0"/>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Академічна доброчесність - це сукупність етичних принципів визначених законом правил, якими мають керуватися учасники освітнього процесу під час навчання, викладання та провадження наукової (творчої) діяльності з метою забезпечення довіри </w:t>
      </w:r>
      <w:r>
        <w:rPr>
          <w:rFonts w:ascii="Times New Roman" w:hAnsi="Times New Roman" w:cs="Times New Roman"/>
          <w:spacing w:val="2"/>
          <w:sz w:val="28"/>
          <w:szCs w:val="28"/>
          <w:lang w:val="uk-UA"/>
        </w:rPr>
        <w:t xml:space="preserve">до </w:t>
      </w:r>
      <w:r>
        <w:rPr>
          <w:rFonts w:ascii="Times New Roman" w:hAnsi="Times New Roman" w:cs="Times New Roman"/>
          <w:sz w:val="28"/>
          <w:szCs w:val="28"/>
          <w:lang w:val="uk-UA"/>
        </w:rPr>
        <w:t>результатів навчання та/або наукових (творчих)</w:t>
      </w:r>
      <w:r>
        <w:rPr>
          <w:rFonts w:ascii="Times New Roman" w:hAnsi="Times New Roman" w:cs="Times New Roman"/>
          <w:spacing w:val="25"/>
          <w:sz w:val="28"/>
          <w:szCs w:val="28"/>
          <w:lang w:val="uk-UA"/>
        </w:rPr>
        <w:t xml:space="preserve"> </w:t>
      </w:r>
      <w:r>
        <w:rPr>
          <w:rFonts w:ascii="Times New Roman" w:hAnsi="Times New Roman" w:cs="Times New Roman"/>
          <w:sz w:val="28"/>
          <w:szCs w:val="28"/>
          <w:lang w:val="uk-UA"/>
        </w:rPr>
        <w:t>досягнень.</w:t>
      </w:r>
    </w:p>
    <w:p>
      <w:pPr>
        <w:pStyle w:val="14"/>
        <w:shd w:val="clear" w:color="auto" w:fill="D8D8D8" w:themeFill="background1" w:themeFillShade="D9"/>
        <w:spacing w:after="0"/>
        <w:jc w:val="center"/>
        <w:rPr>
          <w:rFonts w:ascii="Times New Roman" w:hAnsi="Times New Roman" w:cs="Times New Roman"/>
          <w:b/>
          <w:spacing w:val="69"/>
          <w:sz w:val="28"/>
          <w:szCs w:val="28"/>
          <w:lang w:val="uk-UA"/>
        </w:rPr>
      </w:pPr>
      <w:r>
        <w:rPr>
          <w:rFonts w:ascii="Times New Roman" w:hAnsi="Times New Roman" w:cs="Times New Roman"/>
          <w:b/>
          <w:sz w:val="28"/>
          <w:szCs w:val="28"/>
        </w:rPr>
        <w:t>Дотримання академічної доброчесності педагогічними,</w:t>
      </w:r>
      <w:r>
        <w:rPr>
          <w:rFonts w:ascii="Times New Roman" w:hAnsi="Times New Roman" w:cs="Times New Roman"/>
          <w:b/>
          <w:spacing w:val="69"/>
          <w:sz w:val="28"/>
          <w:szCs w:val="28"/>
        </w:rPr>
        <w:t xml:space="preserve"> </w:t>
      </w:r>
    </w:p>
    <w:p>
      <w:pPr>
        <w:pStyle w:val="14"/>
        <w:shd w:val="clear" w:color="auto" w:fill="D8D8D8" w:themeFill="background1" w:themeFillShade="D9"/>
        <w:spacing w:after="0"/>
        <w:jc w:val="center"/>
        <w:rPr>
          <w:rFonts w:ascii="Times New Roman" w:hAnsi="Times New Roman" w:cs="Times New Roman"/>
          <w:b/>
          <w:sz w:val="28"/>
          <w:szCs w:val="28"/>
        </w:rPr>
      </w:pPr>
      <w:r>
        <w:rPr>
          <w:rFonts w:ascii="Times New Roman" w:hAnsi="Times New Roman" w:cs="Times New Roman"/>
          <w:b/>
          <w:sz w:val="28"/>
          <w:szCs w:val="28"/>
        </w:rPr>
        <w:t>науково-педагогічними та науковими працівниками передбачає:</w:t>
      </w:r>
    </w:p>
    <w:p>
      <w:pPr>
        <w:pStyle w:val="26"/>
        <w:widowControl w:val="0"/>
        <w:numPr>
          <w:ilvl w:val="0"/>
          <w:numId w:val="3"/>
        </w:numPr>
        <w:tabs>
          <w:tab w:val="left" w:pos="1440"/>
          <w:tab w:val="left" w:pos="1441"/>
          <w:tab w:val="left" w:pos="2926"/>
          <w:tab w:val="left" w:pos="3405"/>
          <w:tab w:val="left" w:pos="4620"/>
          <w:tab w:val="left" w:pos="6138"/>
          <w:tab w:val="left" w:pos="6482"/>
          <w:tab w:val="left" w:pos="7156"/>
          <w:tab w:val="left" w:pos="9034"/>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посилання</w:t>
      </w:r>
      <w:r>
        <w:rPr>
          <w:rFonts w:ascii="Times New Roman" w:hAnsi="Times New Roman" w:cs="Times New Roman"/>
          <w:sz w:val="28"/>
          <w:szCs w:val="28"/>
          <w:lang w:val="uk-UA"/>
        </w:rPr>
        <w:t xml:space="preserve"> </w:t>
      </w:r>
      <w:r>
        <w:rPr>
          <w:rFonts w:ascii="Times New Roman" w:hAnsi="Times New Roman" w:cs="Times New Roman"/>
          <w:sz w:val="28"/>
          <w:szCs w:val="28"/>
        </w:rPr>
        <w:t>на</w:t>
      </w:r>
      <w:r>
        <w:rPr>
          <w:rFonts w:ascii="Times New Roman" w:hAnsi="Times New Roman" w:cs="Times New Roman"/>
          <w:sz w:val="28"/>
          <w:szCs w:val="28"/>
          <w:lang w:val="uk-UA"/>
        </w:rPr>
        <w:t xml:space="preserve"> </w:t>
      </w:r>
      <w:r>
        <w:rPr>
          <w:rFonts w:ascii="Times New Roman" w:hAnsi="Times New Roman" w:cs="Times New Roman"/>
          <w:sz w:val="28"/>
          <w:szCs w:val="28"/>
        </w:rPr>
        <w:t>джерела</w:t>
      </w:r>
      <w:r>
        <w:rPr>
          <w:rFonts w:ascii="Times New Roman" w:hAnsi="Times New Roman" w:cs="Times New Roman"/>
          <w:sz w:val="28"/>
          <w:szCs w:val="28"/>
          <w:lang w:val="uk-UA"/>
        </w:rPr>
        <w:t xml:space="preserve"> </w:t>
      </w:r>
      <w:r>
        <w:rPr>
          <w:rFonts w:ascii="Times New Roman" w:hAnsi="Times New Roman" w:cs="Times New Roman"/>
          <w:sz w:val="28"/>
          <w:szCs w:val="28"/>
        </w:rPr>
        <w:t>інформації</w:t>
      </w:r>
      <w:r>
        <w:rPr>
          <w:rFonts w:ascii="Times New Roman" w:hAnsi="Times New Roman" w:cs="Times New Roman"/>
          <w:sz w:val="28"/>
          <w:szCs w:val="28"/>
          <w:lang w:val="uk-UA"/>
        </w:rPr>
        <w:t xml:space="preserve"> </w:t>
      </w:r>
      <w:r>
        <w:rPr>
          <w:rFonts w:ascii="Times New Roman" w:hAnsi="Times New Roman" w:cs="Times New Roman"/>
          <w:sz w:val="28"/>
          <w:szCs w:val="28"/>
        </w:rPr>
        <w:t>у</w:t>
      </w:r>
      <w:r>
        <w:rPr>
          <w:rFonts w:ascii="Times New Roman" w:hAnsi="Times New Roman" w:cs="Times New Roman"/>
          <w:sz w:val="28"/>
          <w:szCs w:val="28"/>
          <w:lang w:val="uk-UA"/>
        </w:rPr>
        <w:t xml:space="preserve"> </w:t>
      </w:r>
      <w:r>
        <w:rPr>
          <w:rFonts w:ascii="Times New Roman" w:hAnsi="Times New Roman" w:cs="Times New Roman"/>
          <w:spacing w:val="2"/>
          <w:sz w:val="28"/>
          <w:szCs w:val="28"/>
        </w:rPr>
        <w:t>разі</w:t>
      </w:r>
      <w:r>
        <w:rPr>
          <w:rFonts w:ascii="Times New Roman" w:hAnsi="Times New Roman" w:cs="Times New Roman"/>
          <w:spacing w:val="2"/>
          <w:sz w:val="28"/>
          <w:szCs w:val="28"/>
          <w:lang w:val="uk-UA"/>
        </w:rPr>
        <w:t xml:space="preserve"> </w:t>
      </w:r>
      <w:r>
        <w:rPr>
          <w:rFonts w:ascii="Times New Roman" w:hAnsi="Times New Roman" w:cs="Times New Roman"/>
          <w:sz w:val="28"/>
          <w:szCs w:val="28"/>
        </w:rPr>
        <w:t>використання</w:t>
      </w:r>
      <w:r>
        <w:rPr>
          <w:rFonts w:ascii="Times New Roman" w:hAnsi="Times New Roman" w:cs="Times New Roman"/>
          <w:sz w:val="28"/>
          <w:szCs w:val="28"/>
          <w:lang w:val="uk-UA"/>
        </w:rPr>
        <w:t xml:space="preserve"> </w:t>
      </w:r>
      <w:r>
        <w:rPr>
          <w:rFonts w:ascii="Times New Roman" w:hAnsi="Times New Roman" w:cs="Times New Roman"/>
          <w:spacing w:val="-4"/>
          <w:sz w:val="28"/>
          <w:szCs w:val="28"/>
        </w:rPr>
        <w:t xml:space="preserve">ідей, </w:t>
      </w:r>
      <w:r>
        <w:rPr>
          <w:rFonts w:ascii="Times New Roman" w:hAnsi="Times New Roman" w:cs="Times New Roman"/>
          <w:sz w:val="28"/>
          <w:szCs w:val="28"/>
        </w:rPr>
        <w:t>розробок, тверджень,</w:t>
      </w:r>
      <w:r>
        <w:rPr>
          <w:rFonts w:ascii="Times New Roman" w:hAnsi="Times New Roman" w:cs="Times New Roman"/>
          <w:spacing w:val="7"/>
          <w:sz w:val="28"/>
          <w:szCs w:val="28"/>
        </w:rPr>
        <w:t xml:space="preserve"> </w:t>
      </w:r>
      <w:r>
        <w:rPr>
          <w:rFonts w:ascii="Times New Roman" w:hAnsi="Times New Roman" w:cs="Times New Roman"/>
          <w:sz w:val="28"/>
          <w:szCs w:val="28"/>
        </w:rPr>
        <w:t>відомостей;</w:t>
      </w:r>
    </w:p>
    <w:p>
      <w:pPr>
        <w:pStyle w:val="26"/>
        <w:widowControl w:val="0"/>
        <w:numPr>
          <w:ilvl w:val="0"/>
          <w:numId w:val="3"/>
        </w:numPr>
        <w:tabs>
          <w:tab w:val="left" w:pos="1440"/>
          <w:tab w:val="left" w:pos="144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дотримання норм законодавства про авторське право і суміжні</w:t>
      </w:r>
      <w:r>
        <w:rPr>
          <w:rFonts w:ascii="Times New Roman" w:hAnsi="Times New Roman" w:cs="Times New Roman"/>
          <w:spacing w:val="62"/>
          <w:sz w:val="28"/>
          <w:szCs w:val="28"/>
        </w:rPr>
        <w:t xml:space="preserve"> </w:t>
      </w:r>
      <w:r>
        <w:rPr>
          <w:rFonts w:ascii="Times New Roman" w:hAnsi="Times New Roman" w:cs="Times New Roman"/>
          <w:sz w:val="28"/>
          <w:szCs w:val="28"/>
        </w:rPr>
        <w:t>права;</w:t>
      </w:r>
    </w:p>
    <w:p>
      <w:pPr>
        <w:pStyle w:val="26"/>
        <w:widowControl w:val="0"/>
        <w:numPr>
          <w:ilvl w:val="0"/>
          <w:numId w:val="3"/>
        </w:numPr>
        <w:tabs>
          <w:tab w:val="left" w:pos="144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 xml:space="preserve">надання достовірної інформації про методики і результати досліджень, джерела використаної </w:t>
      </w:r>
      <w:r>
        <w:rPr>
          <w:rFonts w:ascii="Times New Roman" w:hAnsi="Times New Roman" w:cs="Times New Roman"/>
          <w:spacing w:val="2"/>
          <w:sz w:val="28"/>
          <w:szCs w:val="28"/>
        </w:rPr>
        <w:t xml:space="preserve">інформації та </w:t>
      </w:r>
      <w:r>
        <w:rPr>
          <w:rFonts w:ascii="Times New Roman" w:hAnsi="Times New Roman" w:cs="Times New Roman"/>
          <w:sz w:val="28"/>
          <w:szCs w:val="28"/>
        </w:rPr>
        <w:t>власну педагогічну (науково- педагогічну, творчу)</w:t>
      </w:r>
      <w:r>
        <w:rPr>
          <w:rFonts w:ascii="Times New Roman" w:hAnsi="Times New Roman" w:cs="Times New Roman"/>
          <w:spacing w:val="25"/>
          <w:sz w:val="28"/>
          <w:szCs w:val="28"/>
        </w:rPr>
        <w:t xml:space="preserve"> </w:t>
      </w:r>
      <w:r>
        <w:rPr>
          <w:rFonts w:ascii="Times New Roman" w:hAnsi="Times New Roman" w:cs="Times New Roman"/>
          <w:sz w:val="28"/>
          <w:szCs w:val="28"/>
        </w:rPr>
        <w:t>діяльність;</w:t>
      </w:r>
    </w:p>
    <w:p>
      <w:pPr>
        <w:pStyle w:val="26"/>
        <w:widowControl w:val="0"/>
        <w:numPr>
          <w:ilvl w:val="0"/>
          <w:numId w:val="4"/>
        </w:numPr>
        <w:tabs>
          <w:tab w:val="left" w:pos="1441"/>
        </w:tabs>
        <w:autoSpaceDE w:val="0"/>
        <w:autoSpaceDN w:val="0"/>
        <w:spacing w:after="0"/>
        <w:ind w:right="359"/>
        <w:jc w:val="both"/>
        <w:rPr>
          <w:rFonts w:ascii="Times New Roman" w:hAnsi="Times New Roman" w:cs="Times New Roman"/>
          <w:sz w:val="28"/>
          <w:szCs w:val="28"/>
        </w:rPr>
      </w:pPr>
      <w:r>
        <w:rPr>
          <w:rFonts w:ascii="Times New Roman" w:hAnsi="Times New Roman" w:cs="Times New Roman"/>
          <w:sz w:val="28"/>
          <w:szCs w:val="28"/>
        </w:rPr>
        <w:t xml:space="preserve">контроль </w:t>
      </w:r>
      <w:r>
        <w:rPr>
          <w:rFonts w:ascii="Times New Roman" w:hAnsi="Times New Roman" w:cs="Times New Roman"/>
          <w:spacing w:val="2"/>
          <w:sz w:val="28"/>
          <w:szCs w:val="28"/>
        </w:rPr>
        <w:t xml:space="preserve">за </w:t>
      </w:r>
      <w:r>
        <w:rPr>
          <w:rFonts w:ascii="Times New Roman" w:hAnsi="Times New Roman" w:cs="Times New Roman"/>
          <w:sz w:val="28"/>
          <w:szCs w:val="28"/>
        </w:rPr>
        <w:t>дотриманням академічної доброчесності здобувачами освіти;</w:t>
      </w:r>
    </w:p>
    <w:p>
      <w:pPr>
        <w:pStyle w:val="26"/>
        <w:widowControl w:val="0"/>
        <w:numPr>
          <w:ilvl w:val="0"/>
          <w:numId w:val="4"/>
        </w:numPr>
        <w:tabs>
          <w:tab w:val="left" w:pos="144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об’єктивне оцінювання результатів</w:t>
      </w:r>
      <w:r>
        <w:rPr>
          <w:rFonts w:ascii="Times New Roman" w:hAnsi="Times New Roman" w:cs="Times New Roman"/>
          <w:spacing w:val="12"/>
          <w:sz w:val="28"/>
          <w:szCs w:val="28"/>
        </w:rPr>
        <w:t xml:space="preserve"> </w:t>
      </w:r>
      <w:r>
        <w:rPr>
          <w:rFonts w:ascii="Times New Roman" w:hAnsi="Times New Roman" w:cs="Times New Roman"/>
          <w:sz w:val="28"/>
          <w:szCs w:val="28"/>
        </w:rPr>
        <w:t>навчання.</w:t>
      </w:r>
    </w:p>
    <w:p>
      <w:pPr>
        <w:pStyle w:val="14"/>
        <w:shd w:val="clear" w:color="auto" w:fill="D8D8D8" w:themeFill="background1" w:themeFillShade="D9"/>
        <w:spacing w:after="0"/>
        <w:jc w:val="both"/>
        <w:rPr>
          <w:rFonts w:ascii="Times New Roman" w:hAnsi="Times New Roman" w:cs="Times New Roman"/>
          <w:b/>
          <w:sz w:val="28"/>
          <w:szCs w:val="28"/>
        </w:rPr>
      </w:pPr>
      <w:r>
        <w:rPr>
          <w:rFonts w:ascii="Times New Roman" w:hAnsi="Times New Roman" w:cs="Times New Roman"/>
          <w:b/>
          <w:sz w:val="28"/>
          <w:szCs w:val="28"/>
        </w:rPr>
        <w:t xml:space="preserve">Дотримання академічної доброчесності здобувачами освіти </w:t>
      </w:r>
      <w:r>
        <w:rPr>
          <w:rFonts w:ascii="Times New Roman" w:hAnsi="Times New Roman" w:cs="Times New Roman"/>
          <w:b/>
          <w:spacing w:val="2"/>
          <w:sz w:val="28"/>
          <w:szCs w:val="28"/>
        </w:rPr>
        <w:t>передбачає:</w:t>
      </w:r>
    </w:p>
    <w:p>
      <w:pPr>
        <w:pStyle w:val="26"/>
        <w:widowControl w:val="0"/>
        <w:numPr>
          <w:ilvl w:val="0"/>
          <w:numId w:val="5"/>
        </w:numPr>
        <w:tabs>
          <w:tab w:val="left" w:pos="1800"/>
          <w:tab w:val="left" w:pos="180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 xml:space="preserve">самостійне виконання навчальних завдань, завдань поточного </w:t>
      </w:r>
      <w:r>
        <w:rPr>
          <w:rFonts w:ascii="Times New Roman" w:hAnsi="Times New Roman" w:cs="Times New Roman"/>
          <w:spacing w:val="2"/>
          <w:sz w:val="28"/>
          <w:szCs w:val="28"/>
        </w:rPr>
        <w:t xml:space="preserve">та </w:t>
      </w:r>
      <w:r>
        <w:rPr>
          <w:rFonts w:ascii="Times New Roman" w:hAnsi="Times New Roman" w:cs="Times New Roman"/>
          <w:sz w:val="28"/>
          <w:szCs w:val="28"/>
        </w:rPr>
        <w:t>підсумкового контролю результатів</w:t>
      </w:r>
      <w:r>
        <w:rPr>
          <w:rFonts w:ascii="Times New Roman" w:hAnsi="Times New Roman" w:cs="Times New Roman"/>
          <w:spacing w:val="19"/>
          <w:sz w:val="28"/>
          <w:szCs w:val="28"/>
        </w:rPr>
        <w:t xml:space="preserve"> </w:t>
      </w:r>
      <w:r>
        <w:rPr>
          <w:rFonts w:ascii="Times New Roman" w:hAnsi="Times New Roman" w:cs="Times New Roman"/>
          <w:sz w:val="28"/>
          <w:szCs w:val="28"/>
        </w:rPr>
        <w:t>навчання;</w:t>
      </w:r>
    </w:p>
    <w:p>
      <w:pPr>
        <w:pStyle w:val="26"/>
        <w:widowControl w:val="0"/>
        <w:numPr>
          <w:ilvl w:val="0"/>
          <w:numId w:val="5"/>
        </w:numPr>
        <w:tabs>
          <w:tab w:val="left" w:pos="1800"/>
          <w:tab w:val="left" w:pos="180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 xml:space="preserve">посилання на джерела інформації у </w:t>
      </w:r>
      <w:r>
        <w:rPr>
          <w:rFonts w:ascii="Times New Roman" w:hAnsi="Times New Roman" w:cs="Times New Roman"/>
          <w:spacing w:val="2"/>
          <w:sz w:val="28"/>
          <w:szCs w:val="28"/>
        </w:rPr>
        <w:t xml:space="preserve">разі </w:t>
      </w:r>
      <w:r>
        <w:rPr>
          <w:rFonts w:ascii="Times New Roman" w:hAnsi="Times New Roman" w:cs="Times New Roman"/>
          <w:sz w:val="28"/>
          <w:szCs w:val="28"/>
        </w:rPr>
        <w:t>використання ідей, розробок, тверджень,</w:t>
      </w:r>
      <w:r>
        <w:rPr>
          <w:rFonts w:ascii="Times New Roman" w:hAnsi="Times New Roman" w:cs="Times New Roman"/>
          <w:spacing w:val="7"/>
          <w:sz w:val="28"/>
          <w:szCs w:val="28"/>
        </w:rPr>
        <w:t xml:space="preserve"> </w:t>
      </w:r>
      <w:r>
        <w:rPr>
          <w:rFonts w:ascii="Times New Roman" w:hAnsi="Times New Roman" w:cs="Times New Roman"/>
          <w:sz w:val="28"/>
          <w:szCs w:val="28"/>
        </w:rPr>
        <w:t>відомостей;</w:t>
      </w:r>
    </w:p>
    <w:p>
      <w:pPr>
        <w:pStyle w:val="26"/>
        <w:widowControl w:val="0"/>
        <w:numPr>
          <w:ilvl w:val="0"/>
          <w:numId w:val="5"/>
        </w:numPr>
        <w:tabs>
          <w:tab w:val="left" w:pos="1800"/>
          <w:tab w:val="left" w:pos="180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дотримання норм законодавства про авторське право і суміжні права;</w:t>
      </w:r>
    </w:p>
    <w:p>
      <w:pPr>
        <w:pStyle w:val="26"/>
        <w:widowControl w:val="0"/>
        <w:numPr>
          <w:ilvl w:val="0"/>
          <w:numId w:val="5"/>
        </w:numPr>
        <w:tabs>
          <w:tab w:val="left" w:pos="1801"/>
          <w:tab w:val="left" w:pos="9214"/>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надання достовірної інформації про результати власної навчальної (наукової, творчої) діяльності, використані методики досліджень і джерела</w:t>
      </w:r>
      <w:r>
        <w:rPr>
          <w:rFonts w:ascii="Times New Roman" w:hAnsi="Times New Roman" w:cs="Times New Roman"/>
          <w:spacing w:val="14"/>
          <w:sz w:val="28"/>
          <w:szCs w:val="28"/>
        </w:rPr>
        <w:t xml:space="preserve"> </w:t>
      </w:r>
      <w:r>
        <w:rPr>
          <w:rFonts w:ascii="Times New Roman" w:hAnsi="Times New Roman" w:cs="Times New Roman"/>
          <w:sz w:val="28"/>
          <w:szCs w:val="28"/>
        </w:rPr>
        <w:t>інформації.</w:t>
      </w:r>
    </w:p>
    <w:p>
      <w:pPr>
        <w:pStyle w:val="14"/>
        <w:shd w:val="clear" w:color="auto" w:fill="D8D8D8" w:themeFill="background1" w:themeFillShade="D9"/>
        <w:spacing w:after="0"/>
        <w:jc w:val="center"/>
        <w:rPr>
          <w:rFonts w:ascii="Times New Roman" w:hAnsi="Times New Roman" w:cs="Times New Roman"/>
          <w:b/>
          <w:sz w:val="28"/>
          <w:szCs w:val="28"/>
        </w:rPr>
      </w:pPr>
      <w:r>
        <w:rPr>
          <w:rFonts w:ascii="Times New Roman" w:hAnsi="Times New Roman" w:cs="Times New Roman"/>
          <w:b/>
          <w:sz w:val="28"/>
          <w:szCs w:val="28"/>
        </w:rPr>
        <w:t xml:space="preserve">Порушенням академічної доброчесності </w:t>
      </w:r>
      <w:r>
        <w:rPr>
          <w:rFonts w:ascii="Times New Roman" w:hAnsi="Times New Roman" w:cs="Times New Roman"/>
          <w:b/>
          <w:spacing w:val="2"/>
          <w:sz w:val="28"/>
          <w:szCs w:val="28"/>
        </w:rPr>
        <w:t>вважається:</w:t>
      </w:r>
    </w:p>
    <w:p>
      <w:pPr>
        <w:pStyle w:val="26"/>
        <w:widowControl w:val="0"/>
        <w:numPr>
          <w:ilvl w:val="0"/>
          <w:numId w:val="6"/>
        </w:numPr>
        <w:tabs>
          <w:tab w:val="left" w:pos="180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 xml:space="preserve">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 опублікованих </w:t>
      </w:r>
      <w:r>
        <w:rPr>
          <w:rFonts w:ascii="Times New Roman" w:hAnsi="Times New Roman" w:cs="Times New Roman"/>
          <w:spacing w:val="2"/>
          <w:sz w:val="28"/>
          <w:szCs w:val="28"/>
        </w:rPr>
        <w:t xml:space="preserve">текстів </w:t>
      </w:r>
      <w:r>
        <w:rPr>
          <w:rFonts w:ascii="Times New Roman" w:hAnsi="Times New Roman" w:cs="Times New Roman"/>
          <w:sz w:val="28"/>
          <w:szCs w:val="28"/>
        </w:rPr>
        <w:t>(оприлюднених творів мистецтва) інших авторів без зазначення</w:t>
      </w:r>
      <w:r>
        <w:rPr>
          <w:rFonts w:ascii="Times New Roman" w:hAnsi="Times New Roman" w:cs="Times New Roman"/>
          <w:spacing w:val="27"/>
          <w:sz w:val="28"/>
          <w:szCs w:val="28"/>
        </w:rPr>
        <w:t xml:space="preserve"> </w:t>
      </w:r>
      <w:r>
        <w:rPr>
          <w:rFonts w:ascii="Times New Roman" w:hAnsi="Times New Roman" w:cs="Times New Roman"/>
          <w:sz w:val="28"/>
          <w:szCs w:val="28"/>
        </w:rPr>
        <w:t>авторства;</w:t>
      </w:r>
    </w:p>
    <w:p>
      <w:pPr>
        <w:pStyle w:val="26"/>
        <w:widowControl w:val="0"/>
        <w:numPr>
          <w:ilvl w:val="0"/>
          <w:numId w:val="6"/>
        </w:numPr>
        <w:tabs>
          <w:tab w:val="left" w:pos="180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 xml:space="preserve">самоплагіат - оприлюднення (частково </w:t>
      </w:r>
      <w:r>
        <w:rPr>
          <w:rFonts w:ascii="Times New Roman" w:hAnsi="Times New Roman" w:cs="Times New Roman"/>
          <w:spacing w:val="2"/>
          <w:sz w:val="28"/>
          <w:szCs w:val="28"/>
        </w:rPr>
        <w:t xml:space="preserve">або </w:t>
      </w:r>
      <w:r>
        <w:rPr>
          <w:rFonts w:ascii="Times New Roman" w:hAnsi="Times New Roman" w:cs="Times New Roman"/>
          <w:sz w:val="28"/>
          <w:szCs w:val="28"/>
        </w:rPr>
        <w:t>повністю) власних раніше опублікованих наукових результатів як нових наукових результатів;</w:t>
      </w:r>
    </w:p>
    <w:p>
      <w:pPr>
        <w:pStyle w:val="26"/>
        <w:widowControl w:val="0"/>
        <w:numPr>
          <w:ilvl w:val="0"/>
          <w:numId w:val="6"/>
        </w:numPr>
        <w:tabs>
          <w:tab w:val="left" w:pos="1801"/>
        </w:tabs>
        <w:autoSpaceDE w:val="0"/>
        <w:autoSpaceDN w:val="0"/>
        <w:spacing w:after="0"/>
        <w:jc w:val="both"/>
        <w:rPr>
          <w:rFonts w:ascii="Times New Roman" w:hAnsi="Times New Roman" w:cs="Times New Roman"/>
          <w:sz w:val="28"/>
          <w:szCs w:val="28"/>
        </w:rPr>
      </w:pPr>
      <w:r>
        <w:rPr>
          <w:rFonts w:ascii="Times New Roman" w:hAnsi="Times New Roman" w:cs="Times New Roman"/>
          <w:sz w:val="28"/>
          <w:szCs w:val="28"/>
        </w:rPr>
        <w:t xml:space="preserve">списування - виконання письмових робіт із залученням зовнішніх джерел інформації, крім дозволених для використання, зокрема під час оцінювання </w:t>
      </w:r>
      <w:r>
        <w:rPr>
          <w:rFonts w:ascii="Times New Roman" w:hAnsi="Times New Roman" w:cs="Times New Roman"/>
          <w:spacing w:val="2"/>
          <w:sz w:val="28"/>
          <w:szCs w:val="28"/>
        </w:rPr>
        <w:t xml:space="preserve">результатів </w:t>
      </w:r>
      <w:r>
        <w:rPr>
          <w:rFonts w:ascii="Times New Roman" w:hAnsi="Times New Roman" w:cs="Times New Roman"/>
          <w:sz w:val="28"/>
          <w:szCs w:val="28"/>
        </w:rPr>
        <w:t>навчання;</w:t>
      </w:r>
    </w:p>
    <w:p>
      <w:pPr>
        <w:pStyle w:val="26"/>
        <w:widowControl w:val="0"/>
        <w:numPr>
          <w:ilvl w:val="0"/>
          <w:numId w:val="6"/>
        </w:numPr>
        <w:tabs>
          <w:tab w:val="left" w:pos="1801"/>
        </w:tabs>
        <w:autoSpaceDE w:val="0"/>
        <w:autoSpaceDN w:val="0"/>
        <w:spacing w:after="0"/>
        <w:jc w:val="both"/>
        <w:rPr>
          <w:rFonts w:ascii="Times New Roman" w:hAnsi="Times New Roman" w:cs="Times New Roman"/>
          <w:sz w:val="28"/>
          <w:szCs w:val="28"/>
          <w:lang w:val="uk-UA"/>
        </w:rPr>
      </w:pPr>
      <w:r>
        <w:rPr>
          <w:rFonts w:ascii="Times New Roman" w:hAnsi="Times New Roman" w:cs="Times New Roman"/>
          <w:sz w:val="28"/>
          <w:lang w:val="uk-UA"/>
        </w:rPr>
        <w:t xml:space="preserve">обман - надання завідомо неправдивої інформації </w:t>
      </w:r>
      <w:r>
        <w:rPr>
          <w:rFonts w:ascii="Times New Roman" w:hAnsi="Times New Roman" w:cs="Times New Roman"/>
          <w:spacing w:val="2"/>
          <w:sz w:val="28"/>
          <w:lang w:val="uk-UA"/>
        </w:rPr>
        <w:t xml:space="preserve">щодо </w:t>
      </w:r>
      <w:r>
        <w:rPr>
          <w:rFonts w:ascii="Times New Roman" w:hAnsi="Times New Roman" w:cs="Times New Roman"/>
          <w:sz w:val="28"/>
          <w:lang w:val="uk-UA"/>
        </w:rPr>
        <w:t>власної освітньої (наукової, творчої) діяльності чи  організації освітнього</w:t>
      </w:r>
      <w:r>
        <w:rPr>
          <w:rFonts w:ascii="Times New Roman" w:hAnsi="Times New Roman" w:cs="Times New Roman"/>
          <w:spacing w:val="1"/>
          <w:sz w:val="28"/>
          <w:lang w:val="uk-UA"/>
        </w:rPr>
        <w:t xml:space="preserve"> </w:t>
      </w:r>
      <w:r>
        <w:rPr>
          <w:rFonts w:ascii="Times New Roman" w:hAnsi="Times New Roman" w:cs="Times New Roman"/>
          <w:sz w:val="28"/>
          <w:lang w:val="uk-UA"/>
        </w:rPr>
        <w:t>процесу;</w:t>
      </w:r>
    </w:p>
    <w:p>
      <w:pPr>
        <w:pStyle w:val="26"/>
        <w:widowControl w:val="0"/>
        <w:numPr>
          <w:ilvl w:val="0"/>
          <w:numId w:val="6"/>
        </w:numPr>
        <w:tabs>
          <w:tab w:val="left" w:pos="1801"/>
        </w:tabs>
        <w:autoSpaceDE w:val="0"/>
        <w:autoSpaceDN w:val="0"/>
        <w:spacing w:after="0"/>
        <w:jc w:val="both"/>
        <w:rPr>
          <w:rFonts w:ascii="Times New Roman" w:hAnsi="Times New Roman" w:cs="Times New Roman"/>
          <w:sz w:val="28"/>
          <w:szCs w:val="28"/>
          <w:lang w:val="uk-UA"/>
        </w:rPr>
      </w:pPr>
      <w:r>
        <w:rPr>
          <w:rFonts w:ascii="Times New Roman" w:hAnsi="Times New Roman" w:cs="Times New Roman"/>
          <w:sz w:val="28"/>
          <w:lang w:val="uk-UA"/>
        </w:rPr>
        <w:t xml:space="preserve">хабарництво - надання (отримання) учасником освітнього процесу чи пропозиція </w:t>
      </w:r>
      <w:r>
        <w:rPr>
          <w:rFonts w:ascii="Times New Roman" w:hAnsi="Times New Roman" w:cs="Times New Roman"/>
          <w:spacing w:val="2"/>
          <w:sz w:val="28"/>
          <w:lang w:val="uk-UA"/>
        </w:rPr>
        <w:t xml:space="preserve">щодо </w:t>
      </w:r>
      <w:r>
        <w:rPr>
          <w:rFonts w:ascii="Times New Roman" w:hAnsi="Times New Roman" w:cs="Times New Roman"/>
          <w:sz w:val="28"/>
          <w:lang w:val="uk-UA"/>
        </w:rPr>
        <w:t xml:space="preserve">надання </w:t>
      </w:r>
      <w:r>
        <w:rPr>
          <w:rFonts w:ascii="Times New Roman" w:hAnsi="Times New Roman" w:cs="Times New Roman"/>
          <w:spacing w:val="2"/>
          <w:sz w:val="28"/>
          <w:lang w:val="uk-UA"/>
        </w:rPr>
        <w:t xml:space="preserve">(отримання) </w:t>
      </w:r>
      <w:r>
        <w:rPr>
          <w:rFonts w:ascii="Times New Roman" w:hAnsi="Times New Roman" w:cs="Times New Roman"/>
          <w:sz w:val="28"/>
          <w:lang w:val="uk-UA"/>
        </w:rPr>
        <w:t xml:space="preserve">коштів, майна, послуг, пільг чи </w:t>
      </w:r>
      <w:r>
        <w:rPr>
          <w:rFonts w:ascii="Times New Roman" w:hAnsi="Times New Roman" w:cs="Times New Roman"/>
          <w:spacing w:val="2"/>
          <w:sz w:val="28"/>
          <w:lang w:val="uk-UA"/>
        </w:rPr>
        <w:t xml:space="preserve">будь-яких </w:t>
      </w:r>
      <w:r>
        <w:rPr>
          <w:rFonts w:ascii="Times New Roman" w:hAnsi="Times New Roman" w:cs="Times New Roman"/>
          <w:sz w:val="28"/>
          <w:lang w:val="uk-UA"/>
        </w:rPr>
        <w:t>інших благ  матеріального або нематеріального характеру з метою отримання неправомірної переваги в освітньому</w:t>
      </w:r>
      <w:r>
        <w:rPr>
          <w:rFonts w:ascii="Times New Roman" w:hAnsi="Times New Roman" w:cs="Times New Roman"/>
          <w:spacing w:val="48"/>
          <w:sz w:val="28"/>
          <w:lang w:val="uk-UA"/>
        </w:rPr>
        <w:t xml:space="preserve"> </w:t>
      </w:r>
      <w:r>
        <w:rPr>
          <w:rFonts w:ascii="Times New Roman" w:hAnsi="Times New Roman" w:cs="Times New Roman"/>
          <w:sz w:val="28"/>
          <w:lang w:val="uk-UA"/>
        </w:rPr>
        <w:t>процесі;</w:t>
      </w:r>
    </w:p>
    <w:p>
      <w:pPr>
        <w:pStyle w:val="26"/>
        <w:widowControl w:val="0"/>
        <w:numPr>
          <w:ilvl w:val="0"/>
          <w:numId w:val="6"/>
        </w:numPr>
        <w:tabs>
          <w:tab w:val="left" w:pos="1801"/>
        </w:tabs>
        <w:autoSpaceDE w:val="0"/>
        <w:autoSpaceDN w:val="0"/>
        <w:spacing w:after="0"/>
        <w:jc w:val="both"/>
        <w:rPr>
          <w:rFonts w:ascii="Times New Roman" w:hAnsi="Times New Roman" w:cs="Times New Roman"/>
          <w:sz w:val="28"/>
          <w:szCs w:val="28"/>
          <w:lang w:val="uk-UA"/>
        </w:rPr>
      </w:pPr>
      <w:r>
        <w:rPr>
          <w:rFonts w:ascii="Times New Roman" w:hAnsi="Times New Roman" w:cs="Times New Roman"/>
          <w:sz w:val="28"/>
        </w:rPr>
        <w:t xml:space="preserve">необ’єктивне оцінювання - свідоме </w:t>
      </w:r>
      <w:r>
        <w:rPr>
          <w:rFonts w:ascii="Times New Roman" w:hAnsi="Times New Roman" w:cs="Times New Roman"/>
          <w:spacing w:val="2"/>
          <w:sz w:val="28"/>
        </w:rPr>
        <w:t xml:space="preserve">завищення </w:t>
      </w:r>
      <w:r>
        <w:rPr>
          <w:rFonts w:ascii="Times New Roman" w:hAnsi="Times New Roman" w:cs="Times New Roman"/>
          <w:sz w:val="28"/>
        </w:rPr>
        <w:t xml:space="preserve">або заниження оцінки результатів навчання </w:t>
      </w:r>
      <w:r>
        <w:rPr>
          <w:rFonts w:ascii="Times New Roman" w:hAnsi="Times New Roman" w:cs="Times New Roman"/>
          <w:spacing w:val="2"/>
          <w:sz w:val="28"/>
        </w:rPr>
        <w:t>здобувачів</w:t>
      </w:r>
      <w:r>
        <w:rPr>
          <w:rFonts w:ascii="Times New Roman" w:hAnsi="Times New Roman" w:cs="Times New Roman"/>
          <w:spacing w:val="21"/>
          <w:sz w:val="28"/>
        </w:rPr>
        <w:t xml:space="preserve"> </w:t>
      </w:r>
      <w:r>
        <w:rPr>
          <w:rFonts w:ascii="Times New Roman" w:hAnsi="Times New Roman" w:cs="Times New Roman"/>
          <w:sz w:val="28"/>
        </w:rPr>
        <w:t>освіти.</w:t>
      </w:r>
    </w:p>
    <w:p>
      <w:pPr>
        <w:pStyle w:val="40"/>
        <w:shd w:val="clear" w:color="auto" w:fill="D8D8D8" w:themeFill="background1" w:themeFillShade="D9"/>
        <w:ind w:left="740" w:right="393" w:firstLine="700"/>
        <w:jc w:val="center"/>
      </w:pPr>
      <w:r>
        <w:t xml:space="preserve">Види відповідальності за порушення </w:t>
      </w:r>
    </w:p>
    <w:p>
      <w:pPr>
        <w:pStyle w:val="40"/>
        <w:shd w:val="clear" w:color="auto" w:fill="D8D8D8" w:themeFill="background1" w:themeFillShade="D9"/>
        <w:ind w:left="740" w:right="393" w:firstLine="700"/>
        <w:jc w:val="center"/>
      </w:pPr>
      <w:r>
        <w:t>академічної доброчесності</w:t>
      </w:r>
    </w:p>
    <w:p>
      <w:pPr>
        <w:pStyle w:val="14"/>
        <w:tabs>
          <w:tab w:val="left" w:pos="9214"/>
        </w:tabs>
        <w:spacing w:after="0"/>
        <w:jc w:val="both"/>
        <w:rPr>
          <w:rFonts w:ascii="Times New Roman" w:hAnsi="Times New Roman" w:cs="Times New Roman"/>
          <w:sz w:val="28"/>
          <w:szCs w:val="28"/>
        </w:rPr>
      </w:pPr>
      <w:r>
        <w:rPr>
          <w:rFonts w:ascii="Times New Roman" w:hAnsi="Times New Roman" w:cs="Times New Roman"/>
          <w:sz w:val="28"/>
          <w:szCs w:val="28"/>
        </w:rPr>
        <w:t>Кожна особа, стосовно якої порушено питання про порушення нею академічної</w:t>
      </w:r>
      <w:r>
        <w:rPr>
          <w:rFonts w:ascii="Times New Roman" w:hAnsi="Times New Roman" w:cs="Times New Roman"/>
          <w:sz w:val="28"/>
          <w:szCs w:val="28"/>
          <w:lang w:val="uk-UA"/>
        </w:rPr>
        <w:t xml:space="preserve"> </w:t>
      </w:r>
      <w:r>
        <w:rPr>
          <w:rFonts w:ascii="Times New Roman" w:hAnsi="Times New Roman" w:cs="Times New Roman"/>
          <w:sz w:val="28"/>
          <w:szCs w:val="28"/>
        </w:rPr>
        <w:t>доброчесності, має такі права:</w:t>
      </w:r>
    </w:p>
    <w:p>
      <w:pPr>
        <w:pStyle w:val="26"/>
        <w:widowControl w:val="0"/>
        <w:numPr>
          <w:ilvl w:val="0"/>
          <w:numId w:val="7"/>
        </w:numPr>
        <w:tabs>
          <w:tab w:val="left" w:pos="1149"/>
        </w:tabs>
        <w:autoSpaceDE w:val="0"/>
        <w:autoSpaceDN w:val="0"/>
        <w:spacing w:after="0"/>
        <w:ind w:right="370"/>
        <w:jc w:val="both"/>
        <w:rPr>
          <w:rFonts w:ascii="Times New Roman" w:hAnsi="Times New Roman" w:cs="Times New Roman"/>
          <w:sz w:val="28"/>
          <w:szCs w:val="28"/>
        </w:rPr>
      </w:pPr>
      <w:r>
        <w:rPr>
          <w:rFonts w:ascii="Times New Roman" w:hAnsi="Times New Roman" w:cs="Times New Roman"/>
          <w:sz w:val="28"/>
          <w:szCs w:val="28"/>
        </w:rPr>
        <w:t xml:space="preserve">ознайомлюватися з усіма матеріалами перевірки </w:t>
      </w:r>
      <w:r>
        <w:rPr>
          <w:rFonts w:ascii="Times New Roman" w:hAnsi="Times New Roman" w:cs="Times New Roman"/>
          <w:spacing w:val="2"/>
          <w:sz w:val="28"/>
          <w:szCs w:val="28"/>
        </w:rPr>
        <w:t xml:space="preserve">щодо </w:t>
      </w:r>
      <w:r>
        <w:rPr>
          <w:rFonts w:ascii="Times New Roman" w:hAnsi="Times New Roman" w:cs="Times New Roman"/>
          <w:sz w:val="28"/>
          <w:szCs w:val="28"/>
        </w:rPr>
        <w:t>встановлення факту порушення академічної доброчесності, подавати до них зауваження;</w:t>
      </w:r>
    </w:p>
    <w:p>
      <w:pPr>
        <w:pStyle w:val="26"/>
        <w:widowControl w:val="0"/>
        <w:numPr>
          <w:ilvl w:val="0"/>
          <w:numId w:val="7"/>
        </w:numPr>
        <w:tabs>
          <w:tab w:val="left" w:pos="1149"/>
        </w:tabs>
        <w:autoSpaceDE w:val="0"/>
        <w:autoSpaceDN w:val="0"/>
        <w:spacing w:after="0"/>
        <w:ind w:right="369"/>
        <w:jc w:val="both"/>
        <w:rPr>
          <w:rFonts w:ascii="Times New Roman" w:hAnsi="Times New Roman" w:cs="Times New Roman"/>
          <w:sz w:val="28"/>
          <w:szCs w:val="28"/>
        </w:rPr>
      </w:pPr>
      <w:r>
        <w:rPr>
          <w:rFonts w:ascii="Times New Roman" w:hAnsi="Times New Roman" w:cs="Times New Roman"/>
          <w:sz w:val="28"/>
          <w:szCs w:val="28"/>
        </w:rPr>
        <w:t xml:space="preserve">особисто </w:t>
      </w:r>
      <w:r>
        <w:rPr>
          <w:rFonts w:ascii="Times New Roman" w:hAnsi="Times New Roman" w:cs="Times New Roman"/>
          <w:spacing w:val="2"/>
          <w:sz w:val="28"/>
          <w:szCs w:val="28"/>
        </w:rPr>
        <w:t xml:space="preserve">або </w:t>
      </w:r>
      <w:r>
        <w:rPr>
          <w:rFonts w:ascii="Times New Roman" w:hAnsi="Times New Roman" w:cs="Times New Roman"/>
          <w:sz w:val="28"/>
          <w:szCs w:val="28"/>
        </w:rPr>
        <w:t xml:space="preserve">через представника надавати усні </w:t>
      </w:r>
      <w:r>
        <w:rPr>
          <w:rFonts w:ascii="Times New Roman" w:hAnsi="Times New Roman" w:cs="Times New Roman"/>
          <w:spacing w:val="2"/>
          <w:sz w:val="28"/>
          <w:szCs w:val="28"/>
        </w:rPr>
        <w:t xml:space="preserve">та </w:t>
      </w:r>
      <w:r>
        <w:rPr>
          <w:rFonts w:ascii="Times New Roman" w:hAnsi="Times New Roman" w:cs="Times New Roman"/>
          <w:sz w:val="28"/>
          <w:szCs w:val="28"/>
        </w:rPr>
        <w:t xml:space="preserve">письмові пояснення </w:t>
      </w:r>
      <w:r>
        <w:rPr>
          <w:rFonts w:ascii="Times New Roman" w:hAnsi="Times New Roman" w:cs="Times New Roman"/>
          <w:spacing w:val="2"/>
          <w:sz w:val="28"/>
          <w:szCs w:val="28"/>
        </w:rPr>
        <w:t xml:space="preserve">або </w:t>
      </w:r>
      <w:r>
        <w:rPr>
          <w:rFonts w:ascii="Times New Roman" w:hAnsi="Times New Roman" w:cs="Times New Roman"/>
          <w:sz w:val="28"/>
          <w:szCs w:val="28"/>
        </w:rPr>
        <w:t xml:space="preserve">відмовитися від надання </w:t>
      </w:r>
      <w:r>
        <w:rPr>
          <w:rFonts w:ascii="Times New Roman" w:hAnsi="Times New Roman" w:cs="Times New Roman"/>
          <w:spacing w:val="2"/>
          <w:sz w:val="28"/>
          <w:szCs w:val="28"/>
        </w:rPr>
        <w:t>будь</w:t>
      </w:r>
      <w:r>
        <w:rPr>
          <w:rFonts w:ascii="Times New Roman" w:hAnsi="Times New Roman" w:cs="Times New Roman"/>
          <w:spacing w:val="2"/>
          <w:sz w:val="28"/>
          <w:szCs w:val="28"/>
          <w:lang w:val="uk-UA"/>
        </w:rPr>
        <w:t xml:space="preserve"> </w:t>
      </w:r>
      <w:r>
        <w:rPr>
          <w:rFonts w:ascii="Times New Roman" w:hAnsi="Times New Roman" w:cs="Times New Roman"/>
          <w:spacing w:val="2"/>
          <w:sz w:val="28"/>
          <w:szCs w:val="28"/>
        </w:rPr>
        <w:t>-</w:t>
      </w:r>
      <w:r>
        <w:rPr>
          <w:rFonts w:ascii="Times New Roman" w:hAnsi="Times New Roman" w:cs="Times New Roman"/>
          <w:spacing w:val="2"/>
          <w:sz w:val="28"/>
          <w:szCs w:val="28"/>
          <w:lang w:val="uk-UA"/>
        </w:rPr>
        <w:t xml:space="preserve"> </w:t>
      </w:r>
      <w:r>
        <w:rPr>
          <w:rFonts w:ascii="Times New Roman" w:hAnsi="Times New Roman" w:cs="Times New Roman"/>
          <w:spacing w:val="2"/>
          <w:sz w:val="28"/>
          <w:szCs w:val="28"/>
        </w:rPr>
        <w:t xml:space="preserve">яких </w:t>
      </w:r>
      <w:r>
        <w:rPr>
          <w:rFonts w:ascii="Times New Roman" w:hAnsi="Times New Roman" w:cs="Times New Roman"/>
          <w:sz w:val="28"/>
          <w:szCs w:val="28"/>
        </w:rPr>
        <w:t xml:space="preserve">пояснень, </w:t>
      </w:r>
      <w:r>
        <w:rPr>
          <w:rFonts w:ascii="Times New Roman" w:hAnsi="Times New Roman" w:cs="Times New Roman"/>
          <w:spacing w:val="2"/>
          <w:sz w:val="28"/>
          <w:szCs w:val="28"/>
        </w:rPr>
        <w:t xml:space="preserve">брати </w:t>
      </w:r>
      <w:r>
        <w:rPr>
          <w:rFonts w:ascii="Times New Roman" w:hAnsi="Times New Roman" w:cs="Times New Roman"/>
          <w:sz w:val="28"/>
          <w:szCs w:val="28"/>
        </w:rPr>
        <w:t>участь у дослідженні доказів порушення академічної</w:t>
      </w:r>
      <w:r>
        <w:rPr>
          <w:rFonts w:ascii="Times New Roman" w:hAnsi="Times New Roman" w:cs="Times New Roman"/>
          <w:spacing w:val="26"/>
          <w:sz w:val="28"/>
          <w:szCs w:val="28"/>
        </w:rPr>
        <w:t xml:space="preserve"> </w:t>
      </w:r>
      <w:r>
        <w:rPr>
          <w:rFonts w:ascii="Times New Roman" w:hAnsi="Times New Roman" w:cs="Times New Roman"/>
          <w:sz w:val="28"/>
          <w:szCs w:val="28"/>
        </w:rPr>
        <w:t>доброчесності;</w:t>
      </w:r>
    </w:p>
    <w:p>
      <w:pPr>
        <w:pStyle w:val="26"/>
        <w:widowControl w:val="0"/>
        <w:numPr>
          <w:ilvl w:val="0"/>
          <w:numId w:val="7"/>
        </w:numPr>
        <w:tabs>
          <w:tab w:val="left" w:pos="1149"/>
        </w:tabs>
        <w:autoSpaceDE w:val="0"/>
        <w:autoSpaceDN w:val="0"/>
        <w:spacing w:after="0"/>
        <w:ind w:right="379"/>
        <w:jc w:val="both"/>
        <w:rPr>
          <w:rFonts w:ascii="Times New Roman" w:hAnsi="Times New Roman" w:cs="Times New Roman"/>
          <w:sz w:val="28"/>
          <w:szCs w:val="28"/>
        </w:rPr>
      </w:pPr>
      <w:r>
        <w:rPr>
          <w:rFonts w:ascii="Times New Roman" w:hAnsi="Times New Roman" w:cs="Times New Roman"/>
          <w:spacing w:val="2"/>
          <w:sz w:val="28"/>
          <w:szCs w:val="28"/>
        </w:rPr>
        <w:t xml:space="preserve">знати </w:t>
      </w:r>
      <w:r>
        <w:rPr>
          <w:rFonts w:ascii="Times New Roman" w:hAnsi="Times New Roman" w:cs="Times New Roman"/>
          <w:sz w:val="28"/>
          <w:szCs w:val="28"/>
        </w:rPr>
        <w:t xml:space="preserve">про дату, час і місце </w:t>
      </w:r>
      <w:r>
        <w:rPr>
          <w:rFonts w:ascii="Times New Roman" w:hAnsi="Times New Roman" w:cs="Times New Roman"/>
          <w:spacing w:val="2"/>
          <w:sz w:val="28"/>
          <w:szCs w:val="28"/>
        </w:rPr>
        <w:t xml:space="preserve">та </w:t>
      </w:r>
      <w:r>
        <w:rPr>
          <w:rFonts w:ascii="Times New Roman" w:hAnsi="Times New Roman" w:cs="Times New Roman"/>
          <w:sz w:val="28"/>
          <w:szCs w:val="28"/>
        </w:rPr>
        <w:t xml:space="preserve">бути присутньою під час розгляду питання про встановлення факту порушення академічної доброчесності </w:t>
      </w:r>
      <w:r>
        <w:rPr>
          <w:rFonts w:ascii="Times New Roman" w:hAnsi="Times New Roman" w:cs="Times New Roman"/>
          <w:spacing w:val="2"/>
          <w:sz w:val="28"/>
          <w:szCs w:val="28"/>
        </w:rPr>
        <w:t xml:space="preserve">та </w:t>
      </w:r>
      <w:r>
        <w:rPr>
          <w:rFonts w:ascii="Times New Roman" w:hAnsi="Times New Roman" w:cs="Times New Roman"/>
          <w:sz w:val="28"/>
          <w:szCs w:val="28"/>
        </w:rPr>
        <w:t xml:space="preserve">притягнення її </w:t>
      </w:r>
      <w:r>
        <w:rPr>
          <w:rFonts w:ascii="Times New Roman" w:hAnsi="Times New Roman" w:cs="Times New Roman"/>
          <w:spacing w:val="2"/>
          <w:sz w:val="28"/>
          <w:szCs w:val="28"/>
        </w:rPr>
        <w:t xml:space="preserve">до </w:t>
      </w:r>
      <w:r>
        <w:rPr>
          <w:rFonts w:ascii="Times New Roman" w:hAnsi="Times New Roman" w:cs="Times New Roman"/>
          <w:sz w:val="28"/>
          <w:szCs w:val="28"/>
        </w:rPr>
        <w:t>академічної</w:t>
      </w:r>
      <w:r>
        <w:rPr>
          <w:rFonts w:ascii="Times New Roman" w:hAnsi="Times New Roman" w:cs="Times New Roman"/>
          <w:spacing w:val="17"/>
          <w:sz w:val="28"/>
          <w:szCs w:val="28"/>
        </w:rPr>
        <w:t xml:space="preserve"> </w:t>
      </w:r>
      <w:r>
        <w:rPr>
          <w:rFonts w:ascii="Times New Roman" w:hAnsi="Times New Roman" w:cs="Times New Roman"/>
          <w:sz w:val="28"/>
          <w:szCs w:val="28"/>
        </w:rPr>
        <w:t>відповідальності;</w:t>
      </w:r>
    </w:p>
    <w:p>
      <w:pPr>
        <w:pStyle w:val="26"/>
        <w:widowControl w:val="0"/>
        <w:numPr>
          <w:ilvl w:val="0"/>
          <w:numId w:val="7"/>
        </w:numPr>
        <w:tabs>
          <w:tab w:val="left" w:pos="1149"/>
        </w:tabs>
        <w:autoSpaceDE w:val="0"/>
        <w:autoSpaceDN w:val="0"/>
        <w:spacing w:after="0"/>
        <w:ind w:right="368"/>
        <w:jc w:val="both"/>
        <w:rPr>
          <w:rFonts w:ascii="Times New Roman" w:hAnsi="Times New Roman" w:cs="Times New Roman"/>
          <w:sz w:val="28"/>
          <w:szCs w:val="28"/>
        </w:rPr>
      </w:pPr>
      <w:r>
        <w:rPr>
          <w:rFonts w:ascii="Times New Roman" w:hAnsi="Times New Roman" w:cs="Times New Roman"/>
          <w:sz w:val="28"/>
          <w:szCs w:val="28"/>
        </w:rPr>
        <w:t xml:space="preserve">оскаржити рішення про притягнення </w:t>
      </w:r>
      <w:r>
        <w:rPr>
          <w:rFonts w:ascii="Times New Roman" w:hAnsi="Times New Roman" w:cs="Times New Roman"/>
          <w:spacing w:val="2"/>
          <w:sz w:val="28"/>
          <w:szCs w:val="28"/>
        </w:rPr>
        <w:t xml:space="preserve">до академічної </w:t>
      </w:r>
      <w:r>
        <w:rPr>
          <w:rFonts w:ascii="Times New Roman" w:hAnsi="Times New Roman" w:cs="Times New Roman"/>
          <w:sz w:val="28"/>
          <w:szCs w:val="28"/>
        </w:rPr>
        <w:t xml:space="preserve">відповідальності </w:t>
      </w:r>
      <w:r>
        <w:rPr>
          <w:rFonts w:ascii="Times New Roman" w:hAnsi="Times New Roman" w:cs="Times New Roman"/>
          <w:spacing w:val="2"/>
          <w:sz w:val="28"/>
          <w:szCs w:val="28"/>
        </w:rPr>
        <w:t xml:space="preserve">до </w:t>
      </w:r>
      <w:r>
        <w:rPr>
          <w:rFonts w:ascii="Times New Roman" w:hAnsi="Times New Roman" w:cs="Times New Roman"/>
          <w:sz w:val="28"/>
          <w:szCs w:val="28"/>
        </w:rPr>
        <w:t xml:space="preserve">органу, уповноваженого розглядати апеляції, або </w:t>
      </w:r>
      <w:r>
        <w:rPr>
          <w:rFonts w:ascii="Times New Roman" w:hAnsi="Times New Roman" w:cs="Times New Roman"/>
          <w:spacing w:val="2"/>
          <w:sz w:val="28"/>
          <w:szCs w:val="28"/>
        </w:rPr>
        <w:t>до</w:t>
      </w:r>
      <w:r>
        <w:rPr>
          <w:rFonts w:ascii="Times New Roman" w:hAnsi="Times New Roman" w:cs="Times New Roman"/>
          <w:spacing w:val="34"/>
          <w:sz w:val="28"/>
          <w:szCs w:val="28"/>
        </w:rPr>
        <w:t xml:space="preserve"> </w:t>
      </w:r>
      <w:r>
        <w:rPr>
          <w:rFonts w:ascii="Times New Roman" w:hAnsi="Times New Roman" w:cs="Times New Roman"/>
          <w:sz w:val="28"/>
          <w:szCs w:val="28"/>
        </w:rPr>
        <w:t>суду.</w:t>
      </w:r>
    </w:p>
    <w:p>
      <w:pPr>
        <w:pStyle w:val="14"/>
        <w:spacing w:after="0"/>
        <w:ind w:left="1441"/>
        <w:jc w:val="both"/>
        <w:rPr>
          <w:rFonts w:ascii="Times New Roman" w:hAnsi="Times New Roman" w:cs="Times New Roman"/>
          <w:sz w:val="28"/>
          <w:szCs w:val="28"/>
        </w:rPr>
      </w:pPr>
      <w:r>
        <w:rPr>
          <w:rFonts w:ascii="Times New Roman" w:hAnsi="Times New Roman" w:cs="Times New Roman"/>
          <w:spacing w:val="-70"/>
          <w:sz w:val="28"/>
          <w:szCs w:val="28"/>
          <w:u w:val="single"/>
        </w:rPr>
        <w:t xml:space="preserve"> </w:t>
      </w:r>
      <w:r>
        <w:rPr>
          <w:rFonts w:ascii="Times New Roman" w:hAnsi="Times New Roman" w:cs="Times New Roman"/>
          <w:sz w:val="28"/>
          <w:szCs w:val="28"/>
          <w:u w:val="single"/>
        </w:rPr>
        <w:t>Нормативна база:</w:t>
      </w:r>
    </w:p>
    <w:p>
      <w:pPr>
        <w:pStyle w:val="26"/>
        <w:widowControl w:val="0"/>
        <w:numPr>
          <w:ilvl w:val="0"/>
          <w:numId w:val="8"/>
        </w:numPr>
        <w:tabs>
          <w:tab w:val="left" w:pos="1149"/>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Закон України «Про освіту»;</w:t>
      </w:r>
    </w:p>
    <w:p>
      <w:pPr>
        <w:pStyle w:val="26"/>
        <w:widowControl w:val="0"/>
        <w:numPr>
          <w:ilvl w:val="0"/>
          <w:numId w:val="8"/>
        </w:numPr>
        <w:tabs>
          <w:tab w:val="left" w:pos="1149"/>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Закон України «Про загальну середню</w:t>
      </w:r>
      <w:r>
        <w:rPr>
          <w:rFonts w:ascii="Times New Roman" w:hAnsi="Times New Roman" w:cs="Times New Roman"/>
          <w:spacing w:val="13"/>
          <w:sz w:val="28"/>
          <w:szCs w:val="28"/>
        </w:rPr>
        <w:t xml:space="preserve"> </w:t>
      </w:r>
      <w:r>
        <w:rPr>
          <w:rFonts w:ascii="Times New Roman" w:hAnsi="Times New Roman" w:cs="Times New Roman"/>
          <w:sz w:val="28"/>
          <w:szCs w:val="28"/>
        </w:rPr>
        <w:t>освіту»;</w:t>
      </w:r>
    </w:p>
    <w:p>
      <w:pPr>
        <w:pStyle w:val="26"/>
        <w:widowControl w:val="0"/>
        <w:numPr>
          <w:ilvl w:val="0"/>
          <w:numId w:val="8"/>
        </w:numPr>
        <w:tabs>
          <w:tab w:val="left" w:pos="1149"/>
          <w:tab w:val="left" w:pos="9214"/>
        </w:tabs>
        <w:autoSpaceDE w:val="0"/>
        <w:autoSpaceDN w:val="0"/>
        <w:spacing w:after="0"/>
        <w:ind w:right="369"/>
        <w:contextualSpacing w:val="0"/>
        <w:jc w:val="both"/>
        <w:rPr>
          <w:rFonts w:ascii="Times New Roman" w:hAnsi="Times New Roman" w:cs="Times New Roman"/>
          <w:sz w:val="28"/>
          <w:szCs w:val="28"/>
        </w:rPr>
      </w:pPr>
      <w:r>
        <w:rPr>
          <w:rFonts w:ascii="Times New Roman" w:hAnsi="Times New Roman" w:cs="Times New Roman"/>
          <w:sz w:val="28"/>
          <w:szCs w:val="28"/>
        </w:rPr>
        <w:t xml:space="preserve">Концепція реалізації державної політики у сфері </w:t>
      </w:r>
      <w:r>
        <w:rPr>
          <w:rFonts w:ascii="Times New Roman" w:hAnsi="Times New Roman" w:cs="Times New Roman"/>
          <w:spacing w:val="2"/>
          <w:sz w:val="28"/>
          <w:szCs w:val="28"/>
        </w:rPr>
        <w:t xml:space="preserve">реформування </w:t>
      </w:r>
      <w:r>
        <w:rPr>
          <w:rFonts w:ascii="Times New Roman" w:hAnsi="Times New Roman" w:cs="Times New Roman"/>
          <w:sz w:val="28"/>
          <w:szCs w:val="28"/>
        </w:rPr>
        <w:t xml:space="preserve">загальної середньої освіти «Нова українська </w:t>
      </w:r>
      <w:r>
        <w:rPr>
          <w:rFonts w:ascii="Times New Roman" w:hAnsi="Times New Roman" w:cs="Times New Roman"/>
          <w:spacing w:val="2"/>
          <w:sz w:val="28"/>
          <w:szCs w:val="28"/>
        </w:rPr>
        <w:t xml:space="preserve">школа» </w:t>
      </w:r>
      <w:r>
        <w:rPr>
          <w:rFonts w:ascii="Times New Roman" w:hAnsi="Times New Roman" w:cs="Times New Roman"/>
          <w:sz w:val="28"/>
          <w:szCs w:val="28"/>
        </w:rPr>
        <w:t xml:space="preserve">на період </w:t>
      </w:r>
      <w:r>
        <w:rPr>
          <w:rFonts w:ascii="Times New Roman" w:hAnsi="Times New Roman" w:cs="Times New Roman"/>
          <w:spacing w:val="2"/>
          <w:sz w:val="28"/>
          <w:szCs w:val="28"/>
        </w:rPr>
        <w:t xml:space="preserve">до </w:t>
      </w:r>
      <w:r>
        <w:rPr>
          <w:rFonts w:ascii="Times New Roman" w:hAnsi="Times New Roman" w:cs="Times New Roman"/>
          <w:sz w:val="28"/>
          <w:szCs w:val="28"/>
        </w:rPr>
        <w:t xml:space="preserve">2029 року, схвалена розпорядженням </w:t>
      </w:r>
      <w:r>
        <w:rPr>
          <w:rFonts w:ascii="Times New Roman" w:hAnsi="Times New Roman" w:cs="Times New Roman"/>
          <w:spacing w:val="2"/>
          <w:sz w:val="28"/>
          <w:szCs w:val="28"/>
        </w:rPr>
        <w:t xml:space="preserve">Кабінету </w:t>
      </w:r>
      <w:r>
        <w:rPr>
          <w:rFonts w:ascii="Times New Roman" w:hAnsi="Times New Roman" w:cs="Times New Roman"/>
          <w:sz w:val="28"/>
          <w:szCs w:val="28"/>
        </w:rPr>
        <w:t>Міністрів України від 14 грудня 2016 року №</w:t>
      </w:r>
      <w:r>
        <w:rPr>
          <w:rFonts w:ascii="Times New Roman" w:hAnsi="Times New Roman" w:cs="Times New Roman"/>
          <w:spacing w:val="9"/>
          <w:sz w:val="28"/>
          <w:szCs w:val="28"/>
        </w:rPr>
        <w:t xml:space="preserve"> </w:t>
      </w:r>
      <w:r>
        <w:rPr>
          <w:rFonts w:ascii="Times New Roman" w:hAnsi="Times New Roman" w:cs="Times New Roman"/>
          <w:spacing w:val="3"/>
          <w:sz w:val="28"/>
          <w:szCs w:val="28"/>
        </w:rPr>
        <w:t>988-р;</w:t>
      </w:r>
    </w:p>
    <w:p>
      <w:pPr>
        <w:pStyle w:val="26"/>
        <w:widowControl w:val="0"/>
        <w:numPr>
          <w:ilvl w:val="0"/>
          <w:numId w:val="8"/>
        </w:numPr>
        <w:tabs>
          <w:tab w:val="left" w:pos="1149"/>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Статут закладу загальної середньої</w:t>
      </w:r>
      <w:r>
        <w:rPr>
          <w:rFonts w:ascii="Times New Roman" w:hAnsi="Times New Roman" w:cs="Times New Roman"/>
          <w:spacing w:val="20"/>
          <w:sz w:val="28"/>
          <w:szCs w:val="28"/>
        </w:rPr>
        <w:t xml:space="preserve"> </w:t>
      </w:r>
      <w:r>
        <w:rPr>
          <w:rFonts w:ascii="Times New Roman" w:hAnsi="Times New Roman" w:cs="Times New Roman"/>
          <w:sz w:val="28"/>
          <w:szCs w:val="28"/>
        </w:rPr>
        <w:t>освіти.</w:t>
      </w:r>
    </w:p>
    <w:p>
      <w:pPr>
        <w:shd w:val="clear" w:color="auto" w:fill="D8D8D8" w:themeFill="background1" w:themeFillShade="D9"/>
        <w:spacing w:after="0"/>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Правила для батьків</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1. Вiдповiдальнiсть за здобуття дiтьми повної загальної середньої освiти впершу чергу покладається на вас. Тому, у разi вiдсутностi дитини у школi ви повиннi дiяти за наступним алгоритмом</w:t>
      </w:r>
      <w:r>
        <w:rPr>
          <w:rFonts w:ascii="Times New Roman" w:hAnsi="Times New Roman" w:eastAsia="Times New Roman" w:cs="Times New Roman"/>
          <w:sz w:val="28"/>
          <w:szCs w:val="28"/>
          <w:lang w:val="uk-UA" w:eastAsia="ru-RU"/>
        </w:rPr>
        <w:t>:</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1.1. Якщо дитина захвор</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ла. Телефонувати класному кер</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внику </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 пов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домити про хворобу дитини до початку навчальних занять, бо 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дпов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дно до </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нструкц</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ї ведення класного журналу, у розд</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л</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 "Обл</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к 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дування (пропуск</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в занять)" класний кер</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вник щодня 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дм</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чає к</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льк</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сть урок</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в, пропущених кожним учнем </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 вказує причину 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дсутност</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Коли дитина одужає, надати до школи медичну довiдку.</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 Якщо передбачається пропуск заняття за сiмейними обставинами (до 3-х днiв) надати письмове пояснення на iм'я класного керівника, або директора школи у перший день вiдсутностi дитини.</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1.3. Якщо передбачається л</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кування дитини в санатор</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ї, заздалег</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дь надати заяву на </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м'я директора школи </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 коп</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ю документа, який є п</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дставою для 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дсутност</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 xml:space="preserve"> дитини (пут</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вка, дов</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дка л</w:t>
      </w:r>
      <w:r>
        <w:rPr>
          <w:rFonts w:ascii="Times New Roman" w:hAnsi="Times New Roman" w:eastAsia="Times New Roman" w:cs="Times New Roman"/>
          <w:sz w:val="28"/>
          <w:szCs w:val="28"/>
          <w:lang w:eastAsia="ru-RU"/>
        </w:rPr>
        <w:t>i</w:t>
      </w:r>
      <w:r>
        <w:rPr>
          <w:rFonts w:ascii="Times New Roman" w:hAnsi="Times New Roman" w:eastAsia="Times New Roman" w:cs="Times New Roman"/>
          <w:sz w:val="28"/>
          <w:szCs w:val="28"/>
          <w:lang w:val="uk-UA" w:eastAsia="ru-RU"/>
        </w:rPr>
        <w:t>каря тощо).</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Станьте партнером для вчителя.</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Не відправляйте дитину до школи без сніданку: у школі вона витрачає сили.</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Під час виконання завдань не стійте над дитиною, дайте їй попрацювати самостійно. А коли буде потрібна ваша допомога, то без крику, зі словами «не хвилюйся», «ти все вмієш», «поміркуймо разом», «згадай, як пояснював учитель», допоможіть дитині.</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Свої розбіжності з приводу педагогічної тактики вирішуйте без дитини, пам’ятайте – все що ви говорите дома, вона говорить в школі.</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 Виховуйте у дітей навички культури безпечної поведінки, демонструючи на власному прикладі обережність у поводженні з вогнем, газом, водою, побутовою хімією, ліками.</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 Якщо ви хочете поговорити про дитину, домовтесь з вчителем заздалегідь, щоб не відволікати від освітнього процесу.</w:t>
      </w: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rPr>
          <w:rFonts w:ascii="Times New Roman" w:hAnsi="Times New Roman" w:eastAsia="Times New Roman" w:cs="Times New Roman"/>
          <w:b/>
          <w:i/>
          <w:color w:val="7E7E7E" w:themeColor="text1" w:themeTint="80"/>
          <w:sz w:val="36"/>
          <w:szCs w:val="36"/>
          <w:u w:val="single"/>
          <w:lang w:val="uk-UA" w:eastAsia="ru-RU"/>
        </w:rPr>
      </w:pPr>
    </w:p>
    <w:p>
      <w:pPr>
        <w:spacing w:after="0"/>
        <w:jc w:val="center"/>
        <w:rPr>
          <w:rFonts w:ascii="Times New Roman" w:hAnsi="Times New Roman" w:eastAsia="Times New Roman" w:cs="Times New Roman"/>
          <w:b/>
          <w:i/>
          <w:color w:val="7E7E7E" w:themeColor="text1" w:themeTint="80"/>
          <w:sz w:val="36"/>
          <w:szCs w:val="36"/>
          <w:u w:val="single"/>
          <w:lang w:val="uk-UA" w:eastAsia="ru-RU"/>
        </w:rPr>
      </w:pPr>
    </w:p>
    <w:p>
      <w:pPr>
        <w:spacing w:after="0"/>
        <w:rPr>
          <w:rFonts w:ascii="Times New Roman" w:hAnsi="Times New Roman" w:eastAsia="Times New Roman" w:cs="Times New Roman"/>
          <w:b/>
          <w:i/>
          <w:sz w:val="32"/>
          <w:szCs w:val="32"/>
          <w:u w:val="single"/>
          <w:lang w:val="uk-UA" w:eastAsia="ru-RU"/>
        </w:rPr>
      </w:pPr>
      <w:r>
        <w:rPr>
          <w:rFonts w:ascii="Times New Roman" w:hAnsi="Times New Roman" w:eastAsia="Times New Roman" w:cs="Times New Roman"/>
          <w:b/>
          <w:i/>
          <w:sz w:val="32"/>
          <w:szCs w:val="32"/>
          <w:u w:val="single"/>
          <w:lang w:eastAsia="ru-RU"/>
        </w:rPr>
        <w:t>Блок ІІ</w:t>
      </w:r>
      <w:r>
        <w:rPr>
          <w:rFonts w:ascii="Times New Roman" w:hAnsi="Times New Roman" w:eastAsia="Times New Roman" w:cs="Times New Roman"/>
          <w:b/>
          <w:i/>
          <w:sz w:val="32"/>
          <w:szCs w:val="32"/>
          <w:u w:val="single"/>
          <w:lang w:val="uk-UA" w:eastAsia="ru-RU"/>
        </w:rPr>
        <w:t>.</w:t>
      </w:r>
      <w:r>
        <w:rPr>
          <w:rFonts w:ascii="Times New Roman" w:hAnsi="Times New Roman" w:eastAsia="Times New Roman" w:cs="Times New Roman"/>
          <w:b/>
          <w:i/>
          <w:sz w:val="32"/>
          <w:szCs w:val="32"/>
          <w:u w:val="single"/>
          <w:lang w:eastAsia="ru-RU"/>
        </w:rPr>
        <w:t xml:space="preserve"> </w:t>
      </w:r>
      <w:r>
        <w:rPr>
          <w:rFonts w:ascii="Times New Roman" w:hAnsi="Times New Roman" w:eastAsia="Times New Roman" w:cs="Times New Roman"/>
          <w:b/>
          <w:i/>
          <w:sz w:val="32"/>
          <w:szCs w:val="32"/>
          <w:u w:val="single"/>
          <w:lang w:val="uk-UA" w:eastAsia="ru-RU"/>
        </w:rPr>
        <w:t>Система оцінювання здобувачів освіти. «Критерії, правила і процедури оцінювання діяльності учнів і педагогів»</w:t>
      </w:r>
    </w:p>
    <w:p>
      <w:pPr>
        <w:spacing w:after="0"/>
        <w:jc w:val="both"/>
        <w:outlineLvl w:val="1"/>
        <w:rPr>
          <w:rFonts w:ascii="Times New Roman" w:hAnsi="Times New Roman" w:eastAsia="Times New Roman" w:cs="Times New Roman"/>
          <w:b/>
          <w:bCs/>
          <w:sz w:val="28"/>
          <w:szCs w:val="28"/>
          <w:lang w:eastAsia="ru-RU"/>
        </w:rPr>
      </w:pPr>
      <w:r>
        <w:rPr>
          <w:rFonts w:ascii="Times New Roman" w:hAnsi="Times New Roman" w:eastAsia="Times New Roman" w:cs="Times New Roman"/>
          <w:b/>
          <w:bCs/>
          <w:sz w:val="28"/>
          <w:szCs w:val="28"/>
          <w:lang w:eastAsia="ru-RU"/>
        </w:rPr>
        <w:t>Нормативно-правові акти, що регулюють оцінювання учнів у системі загальної середньої освіти:</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Критерії оцінювання навчальних досягнень учнів (вихованців) у системі загальної середньої освіти (наказ МОН від 13.04.2011 № 329);</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Орієнтовні вимоги до контролю та оцінювання навчальних досягнень учнів початкової школи (додаток до наказу МОН від 19.08.2016 № 1009 «Про внесення змін до наказу Міністерства освіти і науки України від 21.08.2013 № 1222»). </w:t>
      </w:r>
      <w:r>
        <w:rPr>
          <w:rFonts w:ascii="Times New Roman" w:hAnsi="Times New Roman" w:eastAsia="Times New Roman" w:cs="Times New Roman"/>
          <w:sz w:val="28"/>
          <w:szCs w:val="28"/>
          <w:lang w:eastAsia="ru-RU"/>
        </w:rPr>
        <w:t>(стосуються 3-4 класів);</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Методичні рекомендацій щодо оцінювання навчальних досягнень учнів першого класу (наказ МОН від 20.08.2018 № 924). У 2019/2020 навчальному році ці методичні рекомендації є чинними для 1–2-х класів Нової української школи;</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Методичні рекомендацій щодо оцінювання навчальних досягнень учнів другого класу (наказ МОН від 27.08.2019 № 1154)</w:t>
      </w:r>
      <w:r>
        <w:rPr>
          <w:rFonts w:ascii="Times New Roman" w:hAnsi="Times New Roman" w:eastAsia="Times New Roman" w:cs="Times New Roman"/>
          <w:sz w:val="28"/>
          <w:szCs w:val="28"/>
          <w:lang w:val="uk-UA" w:eastAsia="ru-RU"/>
        </w:rPr>
        <w:t>;</w:t>
      </w:r>
    </w:p>
    <w:p>
      <w:pPr>
        <w:pStyle w:val="26"/>
        <w:numPr>
          <w:ilvl w:val="0"/>
          <w:numId w:val="2"/>
        </w:numPr>
        <w:autoSpaceDE w:val="0"/>
        <w:autoSpaceDN w:val="0"/>
        <w:adjustRightInd w:val="0"/>
        <w:spacing w:after="0" w:line="240" w:lineRule="auto"/>
        <w:jc w:val="both"/>
        <w:textAlignment w:val="center"/>
        <w:rPr>
          <w:rFonts w:ascii="Times New Roman" w:hAnsi="Times New Roman"/>
          <w:iCs/>
          <w:color w:val="000000"/>
          <w:spacing w:val="5"/>
          <w:sz w:val="28"/>
          <w:szCs w:val="28"/>
        </w:rPr>
      </w:pPr>
      <w:r>
        <w:rPr>
          <w:rFonts w:ascii="Times New Roman" w:hAnsi="Times New Roman" w:eastAsia="Calibri" w:cs="Times New Roman"/>
          <w:iCs/>
          <w:color w:val="000000"/>
          <w:spacing w:val="5"/>
          <w:sz w:val="28"/>
          <w:szCs w:val="28"/>
        </w:rPr>
        <w:t>Наказ Міністерства освіти і науки України</w:t>
      </w:r>
      <w:r>
        <w:rPr>
          <w:rFonts w:ascii="Times New Roman" w:hAnsi="Times New Roman"/>
          <w:iCs/>
          <w:color w:val="000000"/>
          <w:spacing w:val="5"/>
          <w:sz w:val="28"/>
          <w:szCs w:val="28"/>
          <w:lang w:val="uk-UA"/>
        </w:rPr>
        <w:t xml:space="preserve"> </w:t>
      </w:r>
      <w:r>
        <w:rPr>
          <w:rFonts w:ascii="Times New Roman" w:hAnsi="Times New Roman" w:eastAsia="Calibri" w:cs="Times New Roman"/>
          <w:iCs/>
          <w:color w:val="000000"/>
          <w:spacing w:val="5"/>
          <w:sz w:val="28"/>
          <w:szCs w:val="28"/>
        </w:rPr>
        <w:t>від 16.09.2020 № 1146</w:t>
      </w:r>
      <w:r>
        <w:rPr>
          <w:rFonts w:ascii="Times New Roman" w:hAnsi="Times New Roman"/>
          <w:iCs/>
          <w:color w:val="000000"/>
          <w:spacing w:val="5"/>
          <w:sz w:val="28"/>
          <w:szCs w:val="28"/>
          <w:lang w:val="uk-UA"/>
        </w:rPr>
        <w:t xml:space="preserve"> «</w:t>
      </w:r>
      <w:r>
        <w:rPr>
          <w:rFonts w:ascii="Times New Roman" w:hAnsi="Times New Roman" w:eastAsia="Calibri" w:cs="Times New Roman"/>
          <w:sz w:val="28"/>
          <w:szCs w:val="28"/>
          <w:lang w:val="uk-UA" w:eastAsia="uk-UA"/>
        </w:rPr>
        <w:t>Методичні рекомендації щодо оцінювання результатів навчання учнів третіх і четвертих класів Нової української школи</w:t>
      </w:r>
      <w:r>
        <w:rPr>
          <w:rFonts w:ascii="Times New Roman" w:hAnsi="Times New Roman"/>
          <w:sz w:val="28"/>
          <w:szCs w:val="28"/>
          <w:lang w:val="uk-UA" w:eastAsia="uk-UA"/>
        </w:rPr>
        <w:t>»;</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Положення про атестацію педагогічних працівників ЗНЗ із змінами 2013 року (наказ МОН України від 08.08.2013 № 1135)</w:t>
      </w:r>
    </w:p>
    <w:p>
      <w:pPr>
        <w:spacing w:after="0"/>
        <w:ind w:firstLine="36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Компетентнісна освіта зорієнтована на практичні результати, досвід особистої діяльності, вироблення ставлень, що зумовлює принципові зміни в організації навчання, яке стає спрямованим на розвиток конкретних цінностей і життєво необхідних знань і умінь здобувачів освіти.</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Оцінювання ґрунтується на позитивному принципі, що передусім передбачає врахування рівня досягнень самого учня.</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Метою навчання є сформовані компетентності. Вимоги до обов’язкових результатів навчання визначаються з урахуванням компетентнісного підходу до навчання, в основу якого покладено ключові компетентності.</w:t>
      </w: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До ключових компетентностей належать:</w:t>
      </w:r>
    </w:p>
    <w:p>
      <w:pPr>
        <w:pStyle w:val="26"/>
        <w:numPr>
          <w:ilvl w:val="0"/>
          <w:numId w:val="9"/>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здатність спілкуватися рідною (у разі відмінності від державної)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припущення і робити висновки на основі проведених дослідів, пізнавати себе і навколишній світ шляхом спостереження та дослідження;</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інформаційно - 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 -комунікаційної компетентності у навчанні та інших життєвих ситуаціях;</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pPr>
        <w:pStyle w:val="26"/>
        <w:numPr>
          <w:ilvl w:val="0"/>
          <w:numId w:val="9"/>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pPr>
        <w:shd w:val="clear" w:color="auto" w:fill="EEECE1" w:themeFill="background2"/>
        <w:spacing w:after="0"/>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eastAsia="ru-RU"/>
        </w:rPr>
        <w:t>Основними функціями оцінювання навчальних досягнень здобувачів освіти є:</w:t>
      </w:r>
    </w:p>
    <w:p>
      <w:pPr>
        <w:pStyle w:val="26"/>
        <w:numPr>
          <w:ilvl w:val="0"/>
          <w:numId w:val="2"/>
        </w:numPr>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sz w:val="28"/>
          <w:szCs w:val="28"/>
          <w:lang w:eastAsia="ru-RU"/>
        </w:rPr>
        <w:t>контролююча - визначає рівень досягнень кожного учня, готовність</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до засвоєння нового матеріалу, що дає змогу вчителеві відповідно планувати й викладати навчальний матеріал;</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навчальна - сприяє повторенню, уточненню й поглибленню знань, їх систематизації, вдосконаленню умінь та навичок;</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діагностико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коригувальна - з'ясовує причини труднощів, які виникають в учня в процесі навчання; виявляє прогалини у засвоєному, вносить корективи, спрямовані на їх усунення;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стимулююч</w:t>
      </w:r>
      <w:r>
        <w:rPr>
          <w:rFonts w:ascii="Times New Roman" w:hAnsi="Times New Roman" w:eastAsia="Times New Roman" w:cs="Times New Roman"/>
          <w:sz w:val="28"/>
          <w:szCs w:val="28"/>
          <w:lang w:val="uk-UA" w:eastAsia="ru-RU"/>
        </w:rPr>
        <w:t xml:space="preserve">о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мотиваційна - формує позитивні мотиви навчання;</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виховна - сприяє формуванню умінь відповідально й зосереджено працювати, застосовувати прийоми контролю й самоконтролю, рефлексії навчальної діяльності.</w:t>
      </w: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При оцінюванні навчальних досягнень здобувачів освіти враховуються: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характеристики відповіді учня: правильність, логічність, обґрунтованість, цілісність;</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якість знань: повнота, глибина, гнучкість, системність, міцність;</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сформованість предметних умінь і навичок;</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рівень володіння розумовими операціями: вміння аналізувати, синтезувати, порівнювати, абстрагувати, класифікувати, узагальнювати, робити висновки тощо;</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досвід творчої діяльності (вміння виявляти проблеми та розв'язувати їх, формулювати гіпотези);</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самостійність оцінних суджень.</w:t>
      </w: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Характеристики якості знань взаємопов'язані між собою і доповнюють одна одну:</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повнота знань - кількість знань, визначених навчальною програмою;</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глибина знань - усвідомленість існуючих зв'язків між групами знань;</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гнучкість знань - уміння учнів застосовувати набуті знання у стандартних і нестандартних ситуаціях; знаходити варіативні способи використання знань; уміння комбінувати новий спосіб діяльності із вже відомих;</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системність знань - усвідомлення структури знань, їх ієрархії і послідовності, тобто усвідомлення одних знань як базових для інших;</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міцність знань - тривалість збереження їх в пам'яті, відтворення їх в необхідних ситуаціях.</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1-2-х класах використовується лише формувальне оцінювання; у 3-11 класах - формувальне і бальне у тісному взаємозв'язку.</w:t>
      </w: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Особливості формувального оцінювання: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націлене на визначення індивідуальних досягнень кожного учня;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 передбачає порівняння навчальних досягненнях різних учнів;</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широко використовує описове оцінювання;</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застосовує зрозумілі критерії оцінювання, за якими оцінюють учня, він стає свідомим учасником процесу оцінювання і навчання;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забезпечує зворотний зв’язок – отримання інформації про те, чого учні навчилися, а також про те, як учитель реалізував поставлені навчальні цілі;</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визначає вектор навчання: виконавши завдання, учні дізнаються про те, якого рівня вони наразі досягли і в якому напрямку їм потрібно рухатися далі.</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Вчитель, з метою впровадження формувального оцінювання, використовує такі передумови:</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ставить перед учнями виклики у вигляді пошуку причинно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-наслідкових зв’язків, розгляду проблемних задач, реалізації проектів;</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спонукає учнів до самостійного мислення і конструювання відповіді;</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заохочує до обґрунтування думок і способу міркування;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пропонує чіткі критерії оцінювання;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формує в учнів розуміння, що будь</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яке явище або процес потрібно розглядати всебічно;</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розвиває критичне мислення учнів.</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 формувальному оцінюванні переважає оцінювання описове, яке спрямовується на індивідуальний прогрес учня. Тому вивчити впровадження формувального оцінювання в систему оцінювання навчальних досягнень учнів можна у процесі спостереження за проведенням </w:t>
      </w:r>
    </w:p>
    <w:p>
      <w:pPr>
        <w:spacing w:after="0"/>
        <w:ind w:firstLine="360"/>
        <w:jc w:val="both"/>
        <w:rPr>
          <w:rFonts w:ascii="Times New Roman" w:hAnsi="Times New Roman" w:eastAsia="Times New Roman" w:cs="Times New Roman"/>
          <w:sz w:val="28"/>
          <w:szCs w:val="28"/>
          <w:lang w:eastAsia="ru-RU"/>
        </w:rPr>
      </w:pPr>
    </w:p>
    <w:p>
      <w:pPr>
        <w:spacing w:after="0"/>
        <w:ind w:firstLine="360"/>
        <w:jc w:val="both"/>
        <w:rPr>
          <w:rFonts w:ascii="Times New Roman" w:hAnsi="Times New Roman" w:eastAsia="Times New Roman" w:cs="Times New Roman"/>
          <w:sz w:val="28"/>
          <w:szCs w:val="28"/>
          <w:lang w:eastAsia="ru-RU"/>
        </w:rPr>
      </w:pPr>
    </w:p>
    <w:p>
      <w:pPr>
        <w:spacing w:after="0"/>
        <w:ind w:firstLine="360"/>
        <w:jc w:val="both"/>
        <w:rPr>
          <w:rFonts w:ascii="Times New Roman" w:hAnsi="Times New Roman" w:eastAsia="Times New Roman" w:cs="Times New Roman"/>
          <w:sz w:val="28"/>
          <w:szCs w:val="28"/>
          <w:lang w:eastAsia="ru-RU"/>
        </w:rPr>
      </w:pPr>
    </w:p>
    <w:p>
      <w:pPr>
        <w:spacing w:after="0"/>
        <w:ind w:firstLine="360"/>
        <w:jc w:val="both"/>
        <w:rPr>
          <w:rFonts w:ascii="Times New Roman" w:hAnsi="Times New Roman" w:eastAsia="Times New Roman" w:cs="Times New Roman"/>
          <w:sz w:val="28"/>
          <w:szCs w:val="28"/>
          <w:lang w:eastAsia="ru-RU"/>
        </w:rPr>
      </w:pPr>
    </w:p>
    <w:p>
      <w:pPr>
        <w:spacing w:after="0"/>
        <w:ind w:firstLine="36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навчальних занять. Під час спостереження за проведенням навчального заняття потрібно звернути увагу на такі аспекти роботи вчителя: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відзначає динаміку успішності учня;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визначає, що потребує виправлення або покращення у роботі учня;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вказує на напрями виправлення помилок та подальшої роботи учня;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заохочує учнів до роботи в парах та кооперативної (групової) роботи.</w:t>
      </w:r>
    </w:p>
    <w:p>
      <w:pPr>
        <w:pStyle w:val="17"/>
        <w:shd w:val="clear" w:color="auto" w:fill="FFFFFF"/>
        <w:spacing w:before="0" w:beforeAutospacing="0" w:after="0" w:afterAutospacing="0" w:line="276" w:lineRule="auto"/>
        <w:jc w:val="both"/>
        <w:rPr>
          <w:i/>
          <w:sz w:val="28"/>
          <w:szCs w:val="28"/>
        </w:rPr>
      </w:pPr>
      <w:r>
        <w:rPr>
          <w:b/>
          <w:i/>
          <w:sz w:val="28"/>
          <w:szCs w:val="28"/>
        </w:rPr>
        <w:t>Критерії оцінювання навчальних досягнень учнів початкової школи (3-4 класи)</w:t>
      </w:r>
      <w:r>
        <w:rPr>
          <w:i/>
          <w:sz w:val="28"/>
          <w:szCs w:val="28"/>
          <w:lang w:val="uk-UA"/>
        </w:rPr>
        <w:t xml:space="preserve"> (Додаток </w:t>
      </w:r>
      <w:r>
        <w:rPr>
          <w:rFonts w:hint="default"/>
          <w:i/>
          <w:sz w:val="28"/>
          <w:szCs w:val="28"/>
          <w:lang w:val="uk-UA"/>
        </w:rPr>
        <w:t>1</w:t>
      </w:r>
      <w:r>
        <w:rPr>
          <w:i/>
          <w:sz w:val="28"/>
          <w:szCs w:val="28"/>
          <w:lang w:val="uk-UA"/>
        </w:rPr>
        <w:t>).</w:t>
      </w:r>
    </w:p>
    <w:p>
      <w:pPr>
        <w:spacing w:after="0"/>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b/>
          <w:i/>
          <w:sz w:val="28"/>
          <w:szCs w:val="28"/>
          <w:lang w:eastAsia="ru-RU"/>
        </w:rPr>
        <w:t>Критерії оцінювання навчальних досягнень учнів базової та старшої школи</w:t>
      </w:r>
      <w:r>
        <w:rPr>
          <w:rFonts w:ascii="Times New Roman" w:hAnsi="Times New Roman" w:eastAsia="Times New Roman" w:cs="Times New Roman"/>
          <w:i/>
          <w:sz w:val="28"/>
          <w:szCs w:val="28"/>
          <w:lang w:val="uk-UA" w:eastAsia="ru-RU"/>
        </w:rPr>
        <w:t xml:space="preserve"> (Додаток 2).</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Видами оцінювання навчальних досягнень здобувачів освіти є поточне, тематичне, семестрове, річне оцінювання та державна підсумкова атестація.</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Поточне оцінювання - це процес встановлення рівня навчальних досягнень учня в оволодінні змістом предмета, уміннями та навичками відповідно до вимог навчальних програм.</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Об'єктом поточного оцінювання рівня навчальних досягнень учнів є знання, вміння та навички, самостійність оцінних суджень, досвід творчої діяльності та емоційно-ціннісного ставлення до навколишньої дійсності.</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Поточне оцінювання здійснюється у процесі вивчення теми. Його основними завдання є: встановлення й оцінювання рівнів розуміння і первинного засвоєння окремих елементів змісту теми, встановлення зв'язків між ними та засвоєним змістом попередніх тем, закріплення знань, умінь і навичок.</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Формами поточного оцінювання є індивідуальне, групове та фронтальне опитування; робота з діаграмами, графіками, схемами; робота з контурними картами; виконання учнями різних видів письмових робіт; взаємоконтроль учнів у парах і групах; самоконтроль тощо. </w:t>
      </w:r>
      <w:r>
        <w:rPr>
          <w:rFonts w:ascii="Times New Roman" w:hAnsi="Times New Roman" w:eastAsia="Times New Roman" w:cs="Times New Roman"/>
          <w:sz w:val="28"/>
          <w:szCs w:val="28"/>
          <w:lang w:eastAsia="ru-RU"/>
        </w:rPr>
        <w:t>В умовах упровадження зовнішнього незалежного оцінювання особливого значення набуває тестова форма контролю та оцінювання навчальних досягнень учнів.</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Інформація, отримана на підставі поточного контролю, є основною для коригування роботи вчителя на уроці.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Тематичному оцінюванню навчальних досягнень підлягають основні результати вивчення теми (розділу).</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Тематичне оцінювання навчальних досягнень учнів забезпечує:</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усунення безсистемності в оцінюванні;</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підвищення об'єктивності оцінки знань, навичок і вмінь;</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індивідуальний та диференційований підхід до організації навчання;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систематизацію й узагальнення навчального матеріалу;</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концентрацію уваги учнів до найсуттєвішого в системі знань з кожного предмета.</w:t>
      </w:r>
    </w:p>
    <w:p>
      <w:pPr>
        <w:spacing w:after="0"/>
        <w:ind w:firstLine="36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Тематична оцінка виставляється на підставі результатів опанування учнями матеріалу теми впродовж її вивчення з урахуванням поточних оцінок, різних видів навчальних робіт (практичних, лабораторних, самостійних, творчих, контрольних робіт) та навчальної активності школярів.</w:t>
      </w:r>
    </w:p>
    <w:p>
      <w:pPr>
        <w:spacing w:after="0"/>
        <w:ind w:firstLine="36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Перед початком вивчення чергової теми всі учні мають бути ознайомлені з тривалістю вивчення теми (кількість занять); кількістю й тематикою обов'язкових робіт і термінами їх проведення; умовами оцінювання. Оцінка за семестр виставляється за результатами тематичного оцінювання, а за рік - на основі семестрових оцінок. </w:t>
      </w:r>
      <w:r>
        <w:rPr>
          <w:rFonts w:ascii="Times New Roman" w:hAnsi="Times New Roman" w:eastAsia="Times New Roman" w:cs="Times New Roman"/>
          <w:sz w:val="28"/>
          <w:szCs w:val="28"/>
          <w:lang w:eastAsia="ru-RU"/>
        </w:rPr>
        <w:t>Учень має право на підвищення семестрової оцінки.</w:t>
      </w:r>
      <w:r>
        <w:rPr>
          <w:rFonts w:ascii="Times New Roman" w:hAnsi="Times New Roman" w:eastAsia="Times New Roman" w:cs="Times New Roman"/>
          <w:sz w:val="28"/>
          <w:szCs w:val="28"/>
          <w:lang w:val="uk-UA" w:eastAsia="ru-RU"/>
        </w:rPr>
        <w:t xml:space="preserve"> </w:t>
      </w:r>
    </w:p>
    <w:p>
      <w:pPr>
        <w:shd w:val="clear" w:color="auto" w:fill="EEECE1" w:themeFill="background2"/>
        <w:spacing w:after="0"/>
        <w:ind w:firstLine="360"/>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eastAsia="ru-RU"/>
        </w:rPr>
        <w:t>Оцінювання навчальних досягнень учнів з особливими освітніми потребами</w:t>
      </w:r>
      <w:r>
        <w:rPr>
          <w:rFonts w:ascii="Times New Roman" w:hAnsi="Times New Roman" w:eastAsia="Times New Roman" w:cs="Times New Roman"/>
          <w:i/>
          <w:sz w:val="28"/>
          <w:szCs w:val="28"/>
          <w:lang w:val="uk-UA" w:eastAsia="ru-RU"/>
        </w:rPr>
        <w:t>:</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Оцінювання навчальних досягнень учнів з особливими освітніми потребами орієнтоване:</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 учня й передбачає вимірювання його індивідуального прогрессу</w:t>
      </w:r>
      <w:r>
        <w:rPr>
          <w:rFonts w:ascii="Times New Roman" w:hAnsi="Times New Roman" w:eastAsia="Times New Roman" w:cs="Times New Roman"/>
          <w:sz w:val="28"/>
          <w:szCs w:val="28"/>
          <w:lang w:val="uk-UA" w:eastAsia="ru-RU"/>
        </w:rPr>
        <w:t>;</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на освітні стандарти та здійснюється в межах освітніх програм відповідно до адаптацій чи модифікацій, ІПР, у тому числі якщо учень не працює на рівні освітнього стандарту й модифікованих програм.</w:t>
      </w:r>
    </w:p>
    <w:p>
      <w:pPr>
        <w:spacing w:after="0"/>
        <w:ind w:left="-426" w:firstLine="284"/>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Комплексне оцінювання учнів з особливими потребами включає первинне (виявлення наявних знань); формувальне (формування компетентностей через пізнання); підсумкове (узагальнення рівня сформованих компетентностей, вироблених знань, умінь, навичок).</w:t>
      </w:r>
    </w:p>
    <w:p>
      <w:pPr>
        <w:shd w:val="clear" w:color="auto" w:fill="EEECE1" w:themeFill="background2"/>
        <w:spacing w:after="0"/>
        <w:ind w:left="-426" w:firstLine="284"/>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eastAsia="ru-RU"/>
        </w:rPr>
        <w:t>Мета комплексного оцінювання: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визначити особливості динаміки розвитку учня з особливими освітніми потребами;</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надати йому ефективну підтримку;</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усунути перешкоди для його соціальної і навчальної активності тощо.</w:t>
      </w:r>
    </w:p>
    <w:p>
      <w:pPr>
        <w:spacing w:after="0"/>
        <w:ind w:firstLine="36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Отримана під час різних типів оцінювання інформація дає змогу педагогам уточнити й доповнити психолого-педагогічну оцінку розвитку дітей з особливими освітніми потребами, визначити цілі індивідуальної програми розвитку (ІПР), навчати їх на рівні класу й вчасно надавати підтримку, за потреби залучати спеціальних фахівців тощо.</w:t>
      </w:r>
    </w:p>
    <w:p>
      <w:pPr>
        <w:shd w:val="clear" w:color="auto" w:fill="EEECE1" w:themeFill="background2"/>
        <w:spacing w:after="0"/>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val="uk-UA" w:eastAsia="ru-RU"/>
        </w:rPr>
        <w:t>Первинне оцінювання:</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умовах інклюзивного навчання первинне оцінювання здійснюють, аби отримати інформацію про цілі навчання на початку вивчення програмової теми, розділу тощо. Це оцінювання іноді ототожнюють з поточним. Утім істотна відмінність у тому, що навчальні досягнення учнів не мають кількісного вираження у цифрах чи балах.</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Первинне оцінювання дає вчителю уявлення про освітню ситуацію учня й допомагає спланувати подальші педагогічні кроки — виважені, поступові, без «перестрибування».Первинне, або розпізнавальне оцінювання використовують, коли слід визначити: </w:t>
      </w:r>
      <w:r>
        <w:rPr>
          <w:rFonts w:ascii="Times New Roman" w:hAnsi="Times New Roman" w:eastAsia="Times New Roman" w:cs="Times New Roman"/>
          <w:i/>
          <w:sz w:val="28"/>
          <w:szCs w:val="28"/>
          <w:lang w:val="uk-UA" w:eastAsia="ru-RU"/>
        </w:rPr>
        <w:t>стартовий рівень успішності</w:t>
      </w:r>
      <w:r>
        <w:rPr>
          <w:rFonts w:ascii="Times New Roman" w:hAnsi="Times New Roman" w:eastAsia="Times New Roman" w:cs="Times New Roman"/>
          <w:sz w:val="28"/>
          <w:szCs w:val="28"/>
          <w:lang w:val="uk-UA" w:eastAsia="ru-RU"/>
        </w:rPr>
        <w:t xml:space="preserve"> — попередньо проаналізувати рівень навченості з предмета, рівень сформованості компетентностей. </w:t>
      </w:r>
      <w:r>
        <w:rPr>
          <w:rFonts w:ascii="Times New Roman" w:hAnsi="Times New Roman" w:eastAsia="Times New Roman" w:cs="Times New Roman"/>
          <w:i/>
          <w:sz w:val="28"/>
          <w:szCs w:val="28"/>
          <w:lang w:eastAsia="ru-RU"/>
        </w:rPr>
        <w:t>Спостереження, запитання до вивчених тем</w:t>
      </w:r>
      <w:r>
        <w:rPr>
          <w:rFonts w:ascii="Times New Roman" w:hAnsi="Times New Roman" w:eastAsia="Times New Roman" w:cs="Times New Roman"/>
          <w:sz w:val="28"/>
          <w:szCs w:val="28"/>
          <w:lang w:eastAsia="ru-RU"/>
        </w:rPr>
        <w:t>, розділів чи до нової теми, перед</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тестування дають змогу вчителю з’ясувати</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рівень сформованості знань, умінь, навичок за темою, за певний проміжок часу</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xml:space="preserve"> на якому етапі опанування нового матеріалу в учня можуть виникнути труднощі, і спланувати кроки, аби їх уникнути;</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Учитель спостерігає за учнем чи пропонує йому перед тестуванням наприкінці вивчення теми чи розділу виконати завдання, аби отримати попередню інформацію про рівень засвоєння матеріалу.</w:t>
      </w:r>
    </w:p>
    <w:p>
      <w:pPr>
        <w:shd w:val="clear" w:color="auto" w:fill="EEECE1" w:themeFill="background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Первинне оцінювання потрібне також, якщо:</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учні мають різні рівні чи умови підготовки;</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учитель має забезпечити послідовність у засвоєнні змісту навчального матеріалу чи спланувати викладання й навчання відповідно до можливостей і потреб учнів, зважаючи на «зону найближчого розвитку, хоче з’ясувати — для ефективного навчання учня з особливими освітніми потребами йому достатньо застосувати принцип універсальності у навчанні (множинні способи) чи слід адаптувати, модифікувати навчальну програму.</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Під час первинного оцінювання застосовують усні методи. Поєднується оцінювання мовних і мовленнєвих навичок з когнітивними та навпаки. </w:t>
      </w:r>
      <w:r>
        <w:rPr>
          <w:rFonts w:ascii="Times New Roman" w:hAnsi="Times New Roman" w:eastAsia="Times New Roman" w:cs="Times New Roman"/>
          <w:sz w:val="28"/>
          <w:szCs w:val="28"/>
          <w:lang w:eastAsia="ru-RU"/>
        </w:rPr>
        <w:t>Наприклад, коли учні озвучують певну інформацію, учитель визначає, наскільки вони зрозуміли її зміст.</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Усні методи оцінювання</w:t>
      </w:r>
      <w:r>
        <w:rPr>
          <w:rFonts w:ascii="Times New Roman" w:hAnsi="Times New Roman" w:eastAsia="Times New Roman" w:cs="Times New Roman"/>
          <w:sz w:val="28"/>
          <w:szCs w:val="28"/>
          <w:lang w:eastAsia="ru-RU"/>
        </w:rPr>
        <w:t xml:space="preserve"> — бесіду, коментування — успішно застосовують під час вивчення предметів, що спрямовані на розвиток усного викладу. Педагог, який формулює запитання й швидко оцінює відповіді учнів, досягає позитивного ефекту як під час фронтального, так й індивідуального опитування. Тож переваги методів усного оцінювання такі:</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широке спілкування між учителем і учнем, між учнем і однокласниками;</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розвиток умінь і навичок усного висловлювання учнів;</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миттєвий зворотний зв’язок;</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усунення помилок чи нерозуміння певної теми;</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гнучкість через комбінування типів запитань і рівнів складності відповідно до відповідей.</w:t>
      </w:r>
    </w:p>
    <w:p>
      <w:pPr>
        <w:spacing w:after="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Недоліки в застосуванні усного методу оцінювання:</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вплив емоцій на результат;</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неповний зворотний зв’язок;</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коливання рівня складності;</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більша витрата часу на усне опитування тощо.</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Формувальне оцінювання</w:t>
      </w:r>
      <w:r>
        <w:rPr>
          <w:rFonts w:ascii="Times New Roman" w:hAnsi="Times New Roman" w:eastAsia="Times New Roman" w:cs="Times New Roman"/>
          <w:sz w:val="28"/>
          <w:szCs w:val="28"/>
          <w:lang w:eastAsia="ru-RU"/>
        </w:rPr>
        <w:t xml:space="preserve"> — це не спосіб контролю, що здебільшого є похвалою для одних і покаранням для других. Таке оцінювання педагоги проектують і реалізовують під час освітнього процесу за допомогою різних способів і технік.</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Формувальне оцінювання відрізняється від традиційного поточного, оскільки дає учителю змогу:</w:t>
      </w:r>
    </w:p>
    <w:p>
      <w:pPr>
        <w:pStyle w:val="26"/>
        <w:numPr>
          <w:ilvl w:val="0"/>
          <w:numId w:val="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збирати й узагальнювати інформацію про учнів;</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отримувати від учнів зворотний зв’язок і завдяки цьому поліпшувати процес навчання й пізнання;</w:t>
      </w:r>
    </w:p>
    <w:p>
      <w:pPr>
        <w:pStyle w:val="26"/>
        <w:numPr>
          <w:ilvl w:val="0"/>
          <w:numId w:val="2"/>
        </w:num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оцінювати індивідуальні досягнення учня, не порівнюючи їх з досягненнями інших тощо.</w:t>
      </w:r>
    </w:p>
    <w:p>
      <w:pPr>
        <w:spacing w:after="0"/>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val="uk-UA" w:eastAsia="ru-RU"/>
        </w:rPr>
        <w:t>Підсумкове оцінювання:</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Під час підсумкового оцінювання учителі визначають, чи відповідають отримані результати навчання учнів вимогам стандарту чи результатам, передбаченим ІПР. </w:t>
      </w:r>
      <w:r>
        <w:rPr>
          <w:rFonts w:ascii="Times New Roman" w:hAnsi="Times New Roman" w:eastAsia="Times New Roman" w:cs="Times New Roman"/>
          <w:sz w:val="28"/>
          <w:szCs w:val="28"/>
          <w:lang w:eastAsia="ru-RU"/>
        </w:rPr>
        <w:t>Для цього вони проводять різні контрольно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перевірочні роботи: тестування, диктанти, твори, проекти тощо. Завдання для таких робіт розробляють на основі змісту освітнього стандарту й освітніх програм, та ІПР.</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Оцінюючи навчальні досягнення учнів з ООП, учитель має дотримуватися кількох вимог.</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Стимулювальний підхід</w:t>
      </w:r>
      <w:r>
        <w:rPr>
          <w:rFonts w:ascii="Times New Roman" w:hAnsi="Times New Roman" w:eastAsia="Times New Roman" w:cs="Times New Roman"/>
          <w:sz w:val="28"/>
          <w:szCs w:val="28"/>
          <w:lang w:eastAsia="ru-RU"/>
        </w:rPr>
        <w:t xml:space="preserve"> — оцінювання грунту</w:t>
      </w:r>
      <w:r>
        <w:rPr>
          <w:rFonts w:ascii="Times New Roman" w:hAnsi="Times New Roman" w:eastAsia="Times New Roman" w:cs="Times New Roman"/>
          <w:sz w:val="28"/>
          <w:szCs w:val="28"/>
          <w:lang w:val="uk-UA" w:eastAsia="ru-RU"/>
        </w:rPr>
        <w:t>ється</w:t>
      </w:r>
      <w:r>
        <w:rPr>
          <w:rFonts w:ascii="Times New Roman" w:hAnsi="Times New Roman" w:eastAsia="Times New Roman" w:cs="Times New Roman"/>
          <w:sz w:val="28"/>
          <w:szCs w:val="28"/>
          <w:lang w:eastAsia="ru-RU"/>
        </w:rPr>
        <w:t xml:space="preserve"> на позитивному принципі, тобто передусім слід враховувати досягнення учня, позитивну динаміку розвитку, а не його невдачі. Стимулом для учня має бути передусім не кількісна оцінка, а якісна — емоції вчителя, його оцінні судження й висловлювання, педагогічна техніка й невербальні засоби оцінювання.</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Об’єктивність</w:t>
      </w:r>
      <w:r>
        <w:rPr>
          <w:rFonts w:ascii="Times New Roman" w:hAnsi="Times New Roman" w:eastAsia="Times New Roman" w:cs="Times New Roman"/>
          <w:sz w:val="28"/>
          <w:szCs w:val="28"/>
          <w:lang w:eastAsia="ru-RU"/>
        </w:rPr>
        <w:t xml:space="preserve"> — перевіряти та оцінювати необхідно результати діяльності дитини відповідно до визначених для неї навчальних програм і критеріїв оцінювання, викладених у цих програмах. На оцінку не може впливати суб’єктивне ставлення до учня педагога чи інших учасників освітнього процесу.</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Систематичність</w:t>
      </w:r>
      <w:r>
        <w:rPr>
          <w:rFonts w:ascii="Times New Roman" w:hAnsi="Times New Roman" w:eastAsia="Times New Roman" w:cs="Times New Roman"/>
          <w:sz w:val="28"/>
          <w:szCs w:val="28"/>
          <w:lang w:eastAsia="ru-RU"/>
        </w:rPr>
        <w:t xml:space="preserve"> — контроль навчальних досягнень має бути постійним; його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слід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поєднувати з викладанням і закріпленням матеріалу.</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Відкритість у поєднанні</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з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конфіденційністю — слід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повідомляти</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учневі</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його</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оцінку,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обгрунтовувати</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її;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залучати</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учня </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до</w:t>
      </w:r>
      <w:r>
        <w:rPr>
          <w:rFonts w:hint="default"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 xml:space="preserve"> аналізу та оцінювання</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 власної діяльності, тим самим розвивати критичність мислення і самооцінку. Проте навчальні досягнення учня та його труднощі не мають бути об’єктом обговорення з іншими учнями класу та їхніми батьками.</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Повага до особистості учня</w:t>
      </w:r>
      <w:r>
        <w:rPr>
          <w:rFonts w:ascii="Times New Roman" w:hAnsi="Times New Roman" w:eastAsia="Times New Roman" w:cs="Times New Roman"/>
          <w:sz w:val="28"/>
          <w:szCs w:val="28"/>
          <w:lang w:eastAsia="ru-RU"/>
        </w:rPr>
        <w:t xml:space="preserve"> — оцінка не має принижувати учня чи викликати в нього негативні емоції, а навпаки — стимулювати до поліпшення своїх результатів, успіхів, викликати позитивні почуття. Учитель, оцінюючи досягнення учня, не має наголошувати на його особливостях, насміхатись з нього чи дорікати.</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Оцінювання результатів</w:t>
      </w:r>
      <w:r>
        <w:rPr>
          <w:rFonts w:ascii="Times New Roman" w:hAnsi="Times New Roman" w:eastAsia="Times New Roman" w:cs="Times New Roman"/>
          <w:sz w:val="28"/>
          <w:szCs w:val="28"/>
          <w:lang w:eastAsia="ru-RU"/>
        </w:rPr>
        <w:t xml:space="preserve"> — оцінювати слід знання, уміння та дії дитини, а не її особистість. Учитель має оцінювати навчальні досягнення учня кількісно чи якісно, обгрунтовувати виставлені бали, власні судження. Учень має зрозуміти, за що він одержує саме таку оцінку, яких результатів він досягнув, яких зусиль ще має докласти для їх поліпшення (якщо оцінка несхвальна).</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i/>
          <w:sz w:val="28"/>
          <w:szCs w:val="28"/>
          <w:lang w:val="uk-UA" w:eastAsia="ru-RU"/>
        </w:rPr>
        <w:t>Індивідуальний підхід</w:t>
      </w:r>
      <w:r>
        <w:rPr>
          <w:rFonts w:ascii="Times New Roman" w:hAnsi="Times New Roman" w:eastAsia="Times New Roman" w:cs="Times New Roman"/>
          <w:sz w:val="28"/>
          <w:szCs w:val="28"/>
          <w:lang w:val="uk-UA" w:eastAsia="ru-RU"/>
        </w:rPr>
        <w:t xml:space="preserve"> — в умовах інклюзивного закладу це одна з надважливих вимог, яка передбачає урахування особливостей дитини, її досвіду, специфічних особливостей і труднощів; впливу психофізичного порушення на засвоєння знань і вмінь, ставлення до навчання.</w:t>
      </w:r>
    </w:p>
    <w:p>
      <w:pPr>
        <w:spacing w:after="0"/>
        <w:ind w:firstLine="708"/>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b/>
          <w:i/>
          <w:sz w:val="28"/>
          <w:szCs w:val="28"/>
          <w:lang w:val="uk-UA" w:eastAsia="ru-RU"/>
        </w:rPr>
        <w:t xml:space="preserve">Загальні критерії оцінювання навчальних досягнень учнів з особливими потребами </w:t>
      </w:r>
      <w:r>
        <w:rPr>
          <w:rFonts w:ascii="Times New Roman" w:hAnsi="Times New Roman" w:eastAsia="Times New Roman" w:cs="Times New Roman"/>
          <w:i/>
          <w:sz w:val="28"/>
          <w:szCs w:val="28"/>
          <w:lang w:val="uk-UA" w:eastAsia="ru-RU"/>
        </w:rPr>
        <w:t>(Додаток</w:t>
      </w:r>
      <w:r>
        <w:rPr>
          <w:rFonts w:hint="default" w:ascii="Times New Roman" w:hAnsi="Times New Roman" w:eastAsia="Times New Roman" w:cs="Times New Roman"/>
          <w:i/>
          <w:sz w:val="28"/>
          <w:szCs w:val="28"/>
          <w:lang w:val="uk-UA" w:eastAsia="ru-RU"/>
        </w:rPr>
        <w:t xml:space="preserve"> 3</w:t>
      </w:r>
      <w:r>
        <w:rPr>
          <w:rFonts w:ascii="Times New Roman" w:hAnsi="Times New Roman" w:eastAsia="Times New Roman" w:cs="Times New Roman"/>
          <w:i/>
          <w:sz w:val="28"/>
          <w:szCs w:val="28"/>
          <w:lang w:val="uk-UA" w:eastAsia="ru-RU"/>
        </w:rPr>
        <w:t>).</w:t>
      </w:r>
    </w:p>
    <w:p>
      <w:pPr>
        <w:spacing w:after="0" w:line="432" w:lineRule="atLeast"/>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Критерії, правила і процедури оцінювання педагогічної діяльності педагогічних працівників.</w:t>
      </w:r>
    </w:p>
    <w:p>
      <w:pPr>
        <w:shd w:val="clear" w:color="auto" w:fill="FFFFFF"/>
        <w:spacing w:after="0"/>
        <w:ind w:firstLine="708"/>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 xml:space="preserve">Процедура оцінювання педагогічної діяльності педагогічного працівника включає в себе </w:t>
      </w:r>
      <w:r>
        <w:rPr>
          <w:rFonts w:ascii="Times New Roman" w:hAnsi="Times New Roman" w:eastAsia="Times New Roman" w:cs="Times New Roman"/>
          <w:b/>
          <w:bCs/>
          <w:color w:val="000000"/>
          <w:sz w:val="28"/>
          <w:szCs w:val="28"/>
          <w:lang w:val="uk-UA" w:eastAsia="ru-RU"/>
        </w:rPr>
        <w:t>атестацію та сертифікацію</w:t>
      </w:r>
      <w:r>
        <w:rPr>
          <w:rFonts w:ascii="Times New Roman" w:hAnsi="Times New Roman" w:eastAsia="Times New Roman" w:cs="Times New Roman"/>
          <w:color w:val="000000"/>
          <w:sz w:val="28"/>
          <w:szCs w:val="28"/>
          <w:lang w:val="uk-UA" w:eastAsia="ru-RU"/>
        </w:rPr>
        <w:t>.</w:t>
      </w:r>
    </w:p>
    <w:p>
      <w:pPr>
        <w:shd w:val="clear" w:color="auto" w:fill="FFFFFF"/>
        <w:spacing w:after="0"/>
        <w:ind w:firstLine="708"/>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
          <w:bCs/>
          <w:color w:val="000000"/>
          <w:sz w:val="28"/>
          <w:szCs w:val="28"/>
          <w:lang w:val="uk-UA" w:eastAsia="ru-RU"/>
        </w:rPr>
        <w:t>Атестація педагогічних працівників</w:t>
      </w:r>
      <w:r>
        <w:rPr>
          <w:rFonts w:ascii="Times New Roman" w:hAnsi="Times New Roman" w:eastAsia="Times New Roman" w:cs="Times New Roman"/>
          <w:color w:val="000000"/>
          <w:sz w:val="28"/>
          <w:szCs w:val="28"/>
          <w:lang w:val="uk-UA" w:eastAsia="ru-RU"/>
        </w:rPr>
        <w:t xml:space="preserve"> – це система заходів, спрямованих на всебічне та комплексне оцінювання педагогічної діяльності педагогічних працівників. Нормативною базою для</w:t>
      </w:r>
      <w:r>
        <w:rPr>
          <w:lang w:val="uk-UA"/>
        </w:rPr>
        <w:t xml:space="preserve"> </w:t>
      </w:r>
      <w:r>
        <w:rPr>
          <w:rFonts w:ascii="Times New Roman" w:hAnsi="Times New Roman" w:cs="Times New Roman"/>
          <w:sz w:val="28"/>
          <w:szCs w:val="28"/>
          <w:lang w:val="uk-UA"/>
        </w:rPr>
        <w:t xml:space="preserve">здійснення атестації є </w:t>
      </w:r>
      <w:r>
        <w:fldChar w:fldCharType="begin"/>
      </w:r>
      <w:r>
        <w:instrText xml:space="preserve"> HYPERLINK "http://osvita.ua/legislation/Ser_osv/12483/" </w:instrText>
      </w:r>
      <w:r>
        <w:fldChar w:fldCharType="separate"/>
      </w:r>
      <w:r>
        <w:rPr>
          <w:rStyle w:val="10"/>
          <w:rFonts w:ascii="Georgia" w:hAnsi="Georgia"/>
          <w:color w:val="auto"/>
          <w:sz w:val="25"/>
          <w:szCs w:val="25"/>
          <w:u w:val="none"/>
          <w:shd w:val="clear" w:color="auto" w:fill="FFFFFF"/>
          <w:lang w:val="uk-UA"/>
        </w:rPr>
        <w:t>н</w:t>
      </w:r>
      <w:r>
        <w:rPr>
          <w:rStyle w:val="10"/>
          <w:rFonts w:ascii="Georgia" w:hAnsi="Georgia"/>
          <w:color w:val="auto"/>
          <w:sz w:val="25"/>
          <w:szCs w:val="25"/>
          <w:u w:val="none"/>
          <w:shd w:val="clear" w:color="auto" w:fill="FFFFFF"/>
        </w:rPr>
        <w:t>аказ МОН № 930 від 06.10.2010 року "Про затвердження Типового положення про атестацію педагогічних працівників"</w:t>
      </w:r>
      <w:r>
        <w:rPr>
          <w:rStyle w:val="10"/>
          <w:rFonts w:ascii="Georgia" w:hAnsi="Georgia"/>
          <w:color w:val="auto"/>
          <w:sz w:val="25"/>
          <w:szCs w:val="25"/>
          <w:u w:val="none"/>
          <w:shd w:val="clear" w:color="auto" w:fill="FFFFFF"/>
        </w:rPr>
        <w:fldChar w:fldCharType="end"/>
      </w:r>
      <w:r>
        <w:rPr>
          <w:lang w:val="uk-UA"/>
        </w:rPr>
        <w:t>.</w:t>
      </w:r>
    </w:p>
    <w:p>
      <w:pPr>
        <w:shd w:val="clear" w:color="auto" w:fill="FFFFFF"/>
        <w:spacing w:after="0"/>
        <w:ind w:firstLine="708"/>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Атестація педагогічних працівників може бути черговою або позачерговою. Педагогічний працівник проходить чергову атестацію не менше одного разу на п’ять років, крім випадків, передбачених законодавством.</w:t>
      </w:r>
    </w:p>
    <w:p>
      <w:pPr>
        <w:shd w:val="clear" w:color="auto" w:fill="FFFFFF"/>
        <w:spacing w:after="0"/>
        <w:ind w:firstLine="708"/>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За результатами атестації визначається відповідність педагогічного працівника займаній посаді, присвоюються кваліфікаційні категорії, педагогічні звання. Перелік категорій і педагогічних звань педагогічних працівників визначається Кабінетом Міністрів України.</w:t>
      </w:r>
    </w:p>
    <w:p>
      <w:pPr>
        <w:shd w:val="clear" w:color="auto" w:fill="FFFFFF"/>
        <w:spacing w:after="0"/>
        <w:ind w:firstLine="708"/>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Рішення атестаційної комісії може бути підставою для звільнення педагогічного працівника з роботи упорядку, встановленому законодавством.</w:t>
      </w:r>
    </w:p>
    <w:p>
      <w:pPr>
        <w:shd w:val="clear" w:color="auto" w:fill="FFFFFF"/>
        <w:spacing w:after="0"/>
        <w:ind w:firstLine="708"/>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Положення про атестацію педагогічних працівників затверджує центральний орган виконавчої влади у сфері освіти і науки.</w:t>
      </w:r>
    </w:p>
    <w:p>
      <w:pPr>
        <w:shd w:val="clear" w:color="auto" w:fill="FFFFFF"/>
        <w:spacing w:after="0"/>
        <w:ind w:firstLine="708"/>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Щорічне підвищення кваліфікації педагогічних працівників закладів загальної середньої освіти здійснюється відповідно до Закону України «Про освіту». Загальна кількість академічних годин для підвищення кваліфікації педагогічного працівника впродовж п’яти років не може бути меншою за 150 годин для педагогів школи та 120 годин для педагогів дошкільного відділення, з яких певна кількість годин має бути обов’язково спрямована на вдосконалення знань, вмінь і практичних навичок у частині роботи з дітьми з особливими освітніми потребами.</w:t>
      </w:r>
    </w:p>
    <w:p>
      <w:pPr>
        <w:shd w:val="clear" w:color="auto" w:fill="FFFFFF"/>
        <w:spacing w:after="0"/>
        <w:ind w:firstLine="708"/>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color w:val="000000"/>
          <w:sz w:val="28"/>
          <w:szCs w:val="28"/>
          <w:lang w:val="uk-UA" w:eastAsia="ru-RU"/>
        </w:rPr>
        <w:t>Один із принципів організації атестації – здійснення комплексної оцінки діяльності педагогічного працівника, яка передбачає забезпечення всебічного розгляду матеріалів з досвіду роботи, вивчення необхідної документації, порівняльний аналіз результатів діяльності впродовж усього періоду від попередньої атестації. Необхідною умовою об’єктивної атестації є всебічний аналіз освітнього процесу у закладі, вивчення думки батьків, учнів та колег вчителя, який атестується тощо.</w:t>
      </w:r>
    </w:p>
    <w:p>
      <w:pPr>
        <w:shd w:val="clear" w:color="auto" w:fill="FFFFFF"/>
        <w:spacing w:after="0"/>
        <w:jc w:val="center"/>
        <w:rPr>
          <w:rFonts w:ascii="Times New Roman" w:hAnsi="Times New Roman" w:eastAsia="Times New Roman" w:cs="Times New Roman"/>
          <w:b/>
          <w:bCs/>
          <w:color w:val="000000"/>
          <w:sz w:val="28"/>
          <w:szCs w:val="28"/>
          <w:lang w:val="uk-UA" w:eastAsia="ru-RU"/>
        </w:rPr>
      </w:pPr>
    </w:p>
    <w:p>
      <w:pPr>
        <w:shd w:val="clear" w:color="auto" w:fill="BEBEBE" w:themeFill="background1" w:themeFillShade="BF"/>
        <w:spacing w:after="0"/>
        <w:jc w:val="center"/>
        <w:rPr>
          <w:rFonts w:ascii="Times New Roman" w:hAnsi="Times New Roman" w:eastAsia="Times New Roman" w:cs="Times New Roman"/>
          <w:b/>
          <w:bCs/>
          <w:color w:val="000000"/>
          <w:sz w:val="28"/>
          <w:szCs w:val="28"/>
          <w:lang w:val="uk-UA" w:eastAsia="ru-RU"/>
        </w:rPr>
      </w:pPr>
      <w:r>
        <w:rPr>
          <w:rFonts w:ascii="Times New Roman" w:hAnsi="Times New Roman" w:eastAsia="Times New Roman" w:cs="Times New Roman"/>
          <w:b/>
          <w:bCs/>
          <w:color w:val="000000"/>
          <w:sz w:val="28"/>
          <w:szCs w:val="28"/>
          <w:lang w:val="uk-UA" w:eastAsia="ru-RU"/>
        </w:rPr>
        <w:t>Критерії оцінювання роботи вчителя</w:t>
      </w:r>
    </w:p>
    <w:tbl>
      <w:tblPr>
        <w:tblStyle w:val="7"/>
        <w:tblW w:w="10207" w:type="dxa"/>
        <w:tblInd w:w="-243" w:type="dxa"/>
        <w:tblLayout w:type="fixed"/>
        <w:tblCellMar>
          <w:top w:w="0" w:type="dxa"/>
          <w:left w:w="0" w:type="dxa"/>
          <w:bottom w:w="0" w:type="dxa"/>
          <w:right w:w="0" w:type="dxa"/>
        </w:tblCellMar>
      </w:tblPr>
      <w:tblGrid>
        <w:gridCol w:w="2410"/>
        <w:gridCol w:w="142"/>
        <w:gridCol w:w="3119"/>
        <w:gridCol w:w="2757"/>
        <w:gridCol w:w="56"/>
        <w:gridCol w:w="1723"/>
      </w:tblGrid>
      <w:tr>
        <w:tblPrEx>
          <w:tblCellMar>
            <w:top w:w="0" w:type="dxa"/>
            <w:left w:w="0" w:type="dxa"/>
            <w:bottom w:w="0" w:type="dxa"/>
            <w:right w:w="0" w:type="dxa"/>
          </w:tblCellMar>
        </w:tblPrEx>
        <w:trPr>
          <w:trHeight w:val="245" w:hRule="atLeast"/>
        </w:trPr>
        <w:tc>
          <w:tcPr>
            <w:tcW w:w="10207" w:type="dxa"/>
            <w:gridSpan w:val="6"/>
            <w:tcBorders>
              <w:top w:val="single" w:color="000000" w:sz="8" w:space="0"/>
              <w:left w:val="single" w:color="000000" w:sz="8" w:space="0"/>
              <w:bottom w:val="single" w:color="000000" w:sz="8" w:space="0"/>
              <w:right w:val="single" w:color="000000" w:sz="8" w:space="0"/>
            </w:tcBorders>
            <w:shd w:val="clear" w:color="auto" w:fill="F1F1F1" w:themeFill="background1" w:themeFillShade="F2"/>
            <w:tcMar>
              <w:top w:w="5" w:type="dxa"/>
              <w:left w:w="41"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Кваліфікаційні категорії</w:t>
            </w:r>
          </w:p>
        </w:tc>
      </w:tr>
      <w:tr>
        <w:tblPrEx>
          <w:tblCellMar>
            <w:top w:w="0" w:type="dxa"/>
            <w:left w:w="0" w:type="dxa"/>
            <w:bottom w:w="0" w:type="dxa"/>
            <w:right w:w="0" w:type="dxa"/>
          </w:tblCellMar>
        </w:tblPrEx>
        <w:trPr>
          <w:trHeight w:val="245" w:hRule="atLeast"/>
        </w:trPr>
        <w:tc>
          <w:tcPr>
            <w:tcW w:w="2410" w:type="dxa"/>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Критерії</w:t>
            </w:r>
          </w:p>
        </w:tc>
        <w:tc>
          <w:tcPr>
            <w:tcW w:w="3261"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другої категорії</w:t>
            </w:r>
          </w:p>
        </w:tc>
        <w:tc>
          <w:tcPr>
            <w:tcW w:w="2813"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першої категорії</w:t>
            </w:r>
          </w:p>
        </w:tc>
        <w:tc>
          <w:tcPr>
            <w:tcW w:w="1723"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вищої категорії</w:t>
            </w:r>
          </w:p>
        </w:tc>
      </w:tr>
      <w:tr>
        <w:tblPrEx>
          <w:tblCellMar>
            <w:top w:w="0" w:type="dxa"/>
            <w:left w:w="0" w:type="dxa"/>
            <w:bottom w:w="0" w:type="dxa"/>
            <w:right w:w="0" w:type="dxa"/>
          </w:tblCellMar>
        </w:tblPrEx>
        <w:trPr>
          <w:trHeight w:val="1627" w:hRule="atLeast"/>
        </w:trPr>
        <w:tc>
          <w:tcPr>
            <w:tcW w:w="2410" w:type="dxa"/>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firstLine="1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Знання теоретичних і практичних основ предмета</w:t>
            </w:r>
          </w:p>
        </w:tc>
        <w:tc>
          <w:tcPr>
            <w:tcW w:w="3261"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117" w:firstLine="1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Відповідає загальним вимогам, що висуваються до вчителя. Має глибокі знання зі свого предмета</w:t>
            </w:r>
          </w:p>
        </w:tc>
        <w:tc>
          <w:tcPr>
            <w:tcW w:w="2813"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firstLine="1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Відповідає вимогам, що висуваються до вчителя першої кваліфікаційної категорії. Має глибокі та різнобічні знання зі свого предмета й суміжних дисциплін</w:t>
            </w:r>
          </w:p>
        </w:tc>
        <w:tc>
          <w:tcPr>
            <w:tcW w:w="1723"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88" w:firstLine="5"/>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Відповідає вимогам, що висуваються</w:t>
            </w:r>
            <w:r>
              <w:rPr>
                <w:rFonts w:ascii="Times New Roman" w:hAnsi="Times New Roman" w:eastAsia="Times New Roman" w:cs="Times New Roman"/>
                <w:b/>
                <w:bCs/>
                <w:sz w:val="28"/>
                <w:szCs w:val="28"/>
                <w:lang w:val="uk-UA" w:eastAsia="ru-RU"/>
              </w:rPr>
              <w:t xml:space="preserve"> </w:t>
            </w:r>
            <w:r>
              <w:rPr>
                <w:rFonts w:ascii="Times New Roman" w:hAnsi="Times New Roman" w:eastAsia="Times New Roman" w:cs="Times New Roman"/>
                <w:sz w:val="28"/>
                <w:szCs w:val="28"/>
                <w:lang w:eastAsia="ru-RU"/>
              </w:rPr>
              <w:t>до вчителя вищої кваліфікаційної категорії. Має глибокі знання зі свого предмета і суміжних дисциплін, які значно перевищують обсяг програми</w:t>
            </w:r>
          </w:p>
        </w:tc>
      </w:tr>
      <w:tr>
        <w:tblPrEx>
          <w:tblCellMar>
            <w:top w:w="0" w:type="dxa"/>
            <w:left w:w="0" w:type="dxa"/>
            <w:bottom w:w="0" w:type="dxa"/>
            <w:right w:w="0" w:type="dxa"/>
          </w:tblCellMar>
        </w:tblPrEx>
        <w:trPr>
          <w:trHeight w:val="1622" w:hRule="atLeast"/>
        </w:trPr>
        <w:tc>
          <w:tcPr>
            <w:tcW w:w="2410" w:type="dxa"/>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before="100" w:beforeAutospacing="1"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Знання сучасних досягнень у методиці</w:t>
            </w:r>
          </w:p>
        </w:tc>
        <w:tc>
          <w:tcPr>
            <w:tcW w:w="3261"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63"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Слідкує за спеціальною і методичною літературою;</w:t>
            </w:r>
          </w:p>
          <w:p>
            <w:pPr>
              <w:shd w:val="clear" w:color="auto" w:fill="FFFFFF" w:themeFill="background1"/>
              <w:spacing w:after="0" w:line="287" w:lineRule="atLeast"/>
              <w:ind w:left="-41" w:firstLine="41"/>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працює за готовими методиками й програмами навчання; використовує прогресивні ідеї минулого і сучасності; уміє самостійно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розробляти методику викладання</w:t>
            </w:r>
          </w:p>
        </w:tc>
        <w:tc>
          <w:tcPr>
            <w:tcW w:w="2813"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firstLine="5"/>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Володіє методиками аналізу навчально-методичної роботи з предмета; варіює готові, розроблені іншими методики й програми; використовує програми й методики, спрямовані на розвиток особистості, інтелекту вносить у них (у разі потреби) корективи</w:t>
            </w:r>
          </w:p>
        </w:tc>
        <w:tc>
          <w:tcPr>
            <w:tcW w:w="1723"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Володіє методами науководослідницької, експериментальної роботи, використовує в роботі власні оригінальні програми й методики</w:t>
            </w:r>
          </w:p>
        </w:tc>
      </w:tr>
      <w:tr>
        <w:tblPrEx>
          <w:tblCellMar>
            <w:top w:w="0" w:type="dxa"/>
            <w:left w:w="0" w:type="dxa"/>
            <w:bottom w:w="0" w:type="dxa"/>
            <w:right w:w="0" w:type="dxa"/>
          </w:tblCellMar>
        </w:tblPrEx>
        <w:trPr>
          <w:trHeight w:val="5004" w:hRule="atLeast"/>
        </w:trPr>
        <w:tc>
          <w:tcPr>
            <w:tcW w:w="2410" w:type="dxa"/>
            <w:tcBorders>
              <w:top w:val="single" w:color="auto" w:sz="4" w:space="0"/>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Уміння аналізувати свою діяльність</w:t>
            </w:r>
          </w:p>
        </w:tc>
        <w:tc>
          <w:tcPr>
            <w:tcW w:w="3261" w:type="dxa"/>
            <w:gridSpan w:val="2"/>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5"/>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Бачить свої недоліки, прогалини і прорахунки в роботі, але при цьому не завжди здатний встановити причини їхньої появи. Здатний домагатися змін на краще на основі самоаналізу, однак покращення мають нерегулярний характер і поширюються лише на окремі ділянки роботи</w:t>
            </w:r>
          </w:p>
        </w:tc>
        <w:tc>
          <w:tcPr>
            <w:tcW w:w="2813" w:type="dxa"/>
            <w:gridSpan w:val="2"/>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ight="8"/>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Виправляє допущені помилки і посилює позитивні моменти у своїй роботі, знаходить ефективні рішення. Усвідомлює необхідність систематичної роботи над собою і активно включається в ті види діяльності, які сприяють формуванню потрібних якостей</w:t>
            </w:r>
          </w:p>
        </w:tc>
        <w:tc>
          <w:tcPr>
            <w:tcW w:w="1723" w:type="dxa"/>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Прагне і вміє бачити свою діяльність збоку, об'єктивно й неупереджено оцінює та аналізує її, виділяючи сильні і слабкі сторони. Свідомо намічає програму самовдосконалення, її мету, завдання, шляхи реалізації</w:t>
            </w:r>
          </w:p>
        </w:tc>
      </w:tr>
      <w:tr>
        <w:tblPrEx>
          <w:tblCellMar>
            <w:top w:w="0" w:type="dxa"/>
            <w:left w:w="0" w:type="dxa"/>
            <w:bottom w:w="0" w:type="dxa"/>
            <w:right w:w="0" w:type="dxa"/>
          </w:tblCellMar>
        </w:tblPrEx>
        <w:trPr>
          <w:trHeight w:val="1723" w:hRule="atLeast"/>
        </w:trPr>
        <w:tc>
          <w:tcPr>
            <w:tcW w:w="2410" w:type="dxa"/>
            <w:tcBorders>
              <w:top w:val="single" w:color="auto" w:sz="4" w:space="0"/>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Знання нових педагогічних концепцій</w:t>
            </w:r>
          </w:p>
        </w:tc>
        <w:tc>
          <w:tcPr>
            <w:tcW w:w="3261" w:type="dxa"/>
            <w:gridSpan w:val="2"/>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36" w:right="5"/>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Знає сучасні технології навчання й виховання; володіє набором варіативних методик і педагогічних технологій; здійснює їх вибір і застосовує відповідно до інших умов</w:t>
            </w:r>
          </w:p>
        </w:tc>
        <w:tc>
          <w:tcPr>
            <w:tcW w:w="2813" w:type="dxa"/>
            <w:gridSpan w:val="2"/>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Уміє демонструвати на практиці високий рівень володіння методиками; володіє однією із сучасних технологій розвиваючого навчання; творчо користується технологіями й програмами</w:t>
            </w:r>
          </w:p>
        </w:tc>
        <w:tc>
          <w:tcPr>
            <w:tcW w:w="1723" w:type="dxa"/>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8" w:right="4"/>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Розробляє нові педагогічні технології навчання й виховання, веде роботу з їх апробації, бере участь у дослідницькій, експериментальній діяльності</w:t>
            </w:r>
          </w:p>
        </w:tc>
      </w:tr>
      <w:tr>
        <w:tblPrEx>
          <w:tblCellMar>
            <w:top w:w="0" w:type="dxa"/>
            <w:left w:w="0" w:type="dxa"/>
            <w:bottom w:w="0" w:type="dxa"/>
            <w:right w:w="0" w:type="dxa"/>
          </w:tblCellMar>
        </w:tblPrEx>
        <w:trPr>
          <w:trHeight w:val="1973" w:hRule="atLeast"/>
        </w:trPr>
        <w:tc>
          <w:tcPr>
            <w:tcW w:w="2410" w:type="dxa"/>
            <w:tcBorders>
              <w:top w:val="nil"/>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righ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Знання теорії педагогіки й вікової психології учня</w:t>
            </w:r>
          </w:p>
        </w:tc>
        <w:tc>
          <w:tcPr>
            <w:tcW w:w="3261" w:type="dxa"/>
            <w:gridSpan w:val="2"/>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20" w:right="5"/>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Орієнтується в сучасних психолого-педагогічних концепціях навчання, але рідко застосовує їх у своїй практичній діяльності. Здатний приймати рішення в типових ситуаціях</w:t>
            </w:r>
          </w:p>
        </w:tc>
        <w:tc>
          <w:tcPr>
            <w:tcW w:w="2813" w:type="dxa"/>
            <w:gridSpan w:val="2"/>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Вільно орієнтується в сучасних психолого-педагогічних концепціях навчання й виховання, використовує їх як основу у своїй практичній діяльності. Здатний швидко -й підсвідомо обрати оптимальне рішення</w:t>
            </w:r>
          </w:p>
        </w:tc>
        <w:tc>
          <w:tcPr>
            <w:tcW w:w="1723" w:type="dxa"/>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Користується різними формами  психолого-педагогічної діагностики й науковообґрунтованого прогнозування. Здатний передбачити розвиток подій і прийняти рішення в нестандартних ситуаціях</w:t>
            </w:r>
          </w:p>
        </w:tc>
      </w:tr>
      <w:tr>
        <w:tblPrEx>
          <w:tblCellMar>
            <w:top w:w="0" w:type="dxa"/>
            <w:left w:w="0" w:type="dxa"/>
            <w:bottom w:w="0" w:type="dxa"/>
            <w:right w:w="0" w:type="dxa"/>
          </w:tblCellMar>
        </w:tblPrEx>
        <w:trPr>
          <w:trHeight w:val="367" w:hRule="atLeast"/>
        </w:trPr>
        <w:tc>
          <w:tcPr>
            <w:tcW w:w="10207" w:type="dxa"/>
            <w:gridSpan w:val="6"/>
            <w:tcBorders>
              <w:top w:val="nil"/>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29"/>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ІІ. Результативність професійної діяльності вчителя</w:t>
            </w:r>
          </w:p>
        </w:tc>
      </w:tr>
      <w:tr>
        <w:tblPrEx>
          <w:tblCellMar>
            <w:top w:w="0" w:type="dxa"/>
            <w:left w:w="0" w:type="dxa"/>
            <w:bottom w:w="0" w:type="dxa"/>
            <w:right w:w="0" w:type="dxa"/>
          </w:tblCellMar>
        </w:tblPrEx>
        <w:trPr>
          <w:trHeight w:val="329" w:hRule="atLeast"/>
        </w:trPr>
        <w:tc>
          <w:tcPr>
            <w:tcW w:w="2552" w:type="dxa"/>
            <w:gridSpan w:val="2"/>
            <w:tcBorders>
              <w:top w:val="nil"/>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Критерії</w:t>
            </w:r>
          </w:p>
        </w:tc>
        <w:tc>
          <w:tcPr>
            <w:tcW w:w="3119" w:type="dxa"/>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w:t>
            </w:r>
            <w:r>
              <w:rPr>
                <w:rFonts w:ascii="Times New Roman" w:hAnsi="Times New Roman" w:eastAsia="Times New Roman" w:cs="Times New Roman"/>
                <w:bCs/>
                <w:i/>
                <w:sz w:val="28"/>
                <w:szCs w:val="28"/>
                <w:lang w:val="uk-UA" w:eastAsia="ru-RU"/>
              </w:rPr>
              <w:t xml:space="preserve"> </w:t>
            </w:r>
            <w:r>
              <w:rPr>
                <w:rFonts w:ascii="Times New Roman" w:hAnsi="Times New Roman" w:eastAsia="Times New Roman" w:cs="Times New Roman"/>
                <w:bCs/>
                <w:i/>
                <w:sz w:val="28"/>
                <w:szCs w:val="28"/>
                <w:lang w:eastAsia="ru-RU"/>
              </w:rPr>
              <w:t>другої категорії</w:t>
            </w:r>
          </w:p>
        </w:tc>
        <w:tc>
          <w:tcPr>
            <w:tcW w:w="2813" w:type="dxa"/>
            <w:gridSpan w:val="2"/>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першої категорії</w:t>
            </w:r>
          </w:p>
        </w:tc>
        <w:tc>
          <w:tcPr>
            <w:tcW w:w="1723" w:type="dxa"/>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вищої категорії</w:t>
            </w:r>
          </w:p>
        </w:tc>
      </w:tr>
      <w:tr>
        <w:tblPrEx>
          <w:tblCellMar>
            <w:top w:w="0" w:type="dxa"/>
            <w:left w:w="0" w:type="dxa"/>
            <w:bottom w:w="0" w:type="dxa"/>
            <w:right w:w="0" w:type="dxa"/>
          </w:tblCellMar>
        </w:tblPrEx>
        <w:trPr>
          <w:trHeight w:val="2314" w:hRule="atLeast"/>
        </w:trPr>
        <w:tc>
          <w:tcPr>
            <w:tcW w:w="2552" w:type="dxa"/>
            <w:gridSpan w:val="2"/>
            <w:tcBorders>
              <w:top w:val="single" w:color="auto" w:sz="4" w:space="0"/>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1.Володіння способами індивідуалізації навчання</w:t>
            </w:r>
          </w:p>
        </w:tc>
        <w:tc>
          <w:tcPr>
            <w:tcW w:w="3119" w:type="dxa"/>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92" w:right="5"/>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Враховує у стосунках з учнями індивідуальні особливості їхнього розвитку, здійснює диференційований підхід з урахуванням темпів розвитку, нахилів та інтересів, стану здоров'я. Знає методи діагностики рівня інтелектуального й особистісного розвитку дітей</w:t>
            </w:r>
          </w:p>
        </w:tc>
        <w:tc>
          <w:tcPr>
            <w:tcW w:w="2813" w:type="dxa"/>
            <w:gridSpan w:val="2"/>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Уміло користується елементами, засобами діагностики і корекції індивідуальних особливостей учнів під час реалізації диференційованого підходу. Створює умови для розвитку талантів, розумових і фізичних здібностей</w:t>
            </w:r>
          </w:p>
        </w:tc>
        <w:tc>
          <w:tcPr>
            <w:tcW w:w="1723" w:type="dxa"/>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63" w:lineRule="atLeast"/>
              <w:ind w:left="132" w:righ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Сприяє пошуку, відбору і творчому розвитку обдарованих дітей. Уміє тримати в полі зору «сильних», «слабких» і «середніх» за рівнем знань учнів; працює за індивідуальними планами з обдарованими і слабкими дітьми</w:t>
            </w:r>
          </w:p>
        </w:tc>
      </w:tr>
      <w:tr>
        <w:tblPrEx>
          <w:tblCellMar>
            <w:top w:w="0" w:type="dxa"/>
            <w:left w:w="0" w:type="dxa"/>
            <w:bottom w:w="0" w:type="dxa"/>
            <w:right w:w="0" w:type="dxa"/>
          </w:tblCellMar>
        </w:tblPrEx>
        <w:trPr>
          <w:trHeight w:val="3005" w:hRule="atLeast"/>
        </w:trPr>
        <w:tc>
          <w:tcPr>
            <w:tcW w:w="2552" w:type="dxa"/>
            <w:gridSpan w:val="2"/>
            <w:tcBorders>
              <w:top w:val="single" w:color="auto" w:sz="4" w:space="0"/>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98" w:right="4"/>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2.Уміння активізувати пізнавальну діяльність учнів</w:t>
            </w:r>
          </w:p>
        </w:tc>
        <w:tc>
          <w:tcPr>
            <w:tcW w:w="3119" w:type="dxa"/>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5"/>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Створює умови, що формують мотив діяльності. Уміє захопити учнів своїм предметом, керувати колективною роботою, варіювати різноманітні методи й форми роботи. Стійкий інтерес до навчального предмета і висока пізнавальна активність учнів поєднується з не дуже ґрунтовними знаннями, з недостатньо сформованими навичками учіння</w:t>
            </w:r>
          </w:p>
        </w:tc>
        <w:tc>
          <w:tcPr>
            <w:tcW w:w="2813" w:type="dxa"/>
            <w:gridSpan w:val="2"/>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Забезпечує успішне формування системи знань на основі самоуправління процесом учіння. Уміє цікаво подати навчальний матеріал, активізувати учнів, збудивши в них інтерес до особистостей самого предмета; уміло варіює форми і методи навчання. Міцні, ґрунтовні знання учнів поєднуються з високою пізнавальною активністю і сформованими навичками</w:t>
            </w:r>
          </w:p>
        </w:tc>
        <w:tc>
          <w:tcPr>
            <w:tcW w:w="1723" w:type="dxa"/>
            <w:tcBorders>
              <w:top w:val="single" w:color="auto" w:sz="4" w:space="0"/>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33" w:righ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Забезпечує залучення кожного школяра до процесу активного учіння. Стимулює внутрішню (мислительну) активність, пошукову діяльність. Уміє ясно й чітко викласти навчальний матеріал; уважний до рівня знань усіх учнів. Інтерес до навчального предмета в учнів поєднується з міцними знаннями і сформованими навичками</w:t>
            </w:r>
          </w:p>
        </w:tc>
      </w:tr>
      <w:tr>
        <w:tblPrEx>
          <w:tblCellMar>
            <w:top w:w="0" w:type="dxa"/>
            <w:left w:w="0" w:type="dxa"/>
            <w:bottom w:w="0" w:type="dxa"/>
            <w:right w:w="0" w:type="dxa"/>
          </w:tblCellMar>
        </w:tblPrEx>
        <w:trPr>
          <w:trHeight w:val="2774" w:hRule="atLeast"/>
        </w:trPr>
        <w:tc>
          <w:tcPr>
            <w:tcW w:w="2552" w:type="dxa"/>
            <w:gridSpan w:val="2"/>
            <w:tcBorders>
              <w:top w:val="nil"/>
              <w:left w:val="single" w:color="000000" w:sz="8" w:space="0"/>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56" w:righ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Робота з розвитку в учнів загальнонавчальних вмінь і навичок</w:t>
            </w:r>
          </w:p>
        </w:tc>
        <w:tc>
          <w:tcPr>
            <w:tcW w:w="3119" w:type="dxa"/>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right="5"/>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Прагне до формування навичок раціональної організації праці</w:t>
            </w:r>
          </w:p>
        </w:tc>
        <w:tc>
          <w:tcPr>
            <w:tcW w:w="2813" w:type="dxa"/>
            <w:gridSpan w:val="2"/>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36" w:righ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Цілеспрямовано й професійно формує в учнів уміння й навички раціональної організації навчальної праці (самоконтроль у навчанні, раціональне планування навчальної праці, належний темп читання, письма, обчислень). Дотримується єдиних вимог щодо усного і писемного мовлення: оформлення письмових робіт учнів у зошитах, щоденниках (грамотність, акуратність, каліграфія)</w:t>
            </w:r>
          </w:p>
        </w:tc>
        <w:tc>
          <w:tcPr>
            <w:tcW w:w="1723" w:type="dxa"/>
            <w:tcBorders>
              <w:top w:val="nil"/>
              <w:left w:val="nil"/>
              <w:bottom w:val="single" w:color="000000" w:sz="8" w:space="0"/>
              <w:right w:val="single" w:color="000000" w:sz="8" w:space="0"/>
            </w:tcBorders>
            <w:tcMar>
              <w:top w:w="5" w:type="dxa"/>
              <w:left w:w="37" w:type="dxa"/>
              <w:bottom w:w="0" w:type="dxa"/>
              <w:right w:w="0" w:type="dxa"/>
            </w:tcMar>
          </w:tcPr>
          <w:p>
            <w:pPr>
              <w:shd w:val="clear" w:color="auto" w:fill="FFFFFF" w:themeFill="background1"/>
              <w:spacing w:after="0" w:line="287" w:lineRule="atLeast"/>
              <w:ind w:left="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p>
        </w:tc>
      </w:tr>
      <w:tr>
        <w:tblPrEx>
          <w:tblCellMar>
            <w:top w:w="0" w:type="dxa"/>
            <w:left w:w="0" w:type="dxa"/>
            <w:bottom w:w="0" w:type="dxa"/>
            <w:right w:w="0" w:type="dxa"/>
          </w:tblCellMar>
        </w:tblPrEx>
        <w:trPr>
          <w:trHeight w:val="2544" w:hRule="atLeast"/>
        </w:trPr>
        <w:tc>
          <w:tcPr>
            <w:tcW w:w="2552" w:type="dxa"/>
            <w:gridSpan w:val="2"/>
            <w:tcBorders>
              <w:top w:val="single" w:color="auto" w:sz="4" w:space="0"/>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right="6"/>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4.Рівень навченості учнів</w:t>
            </w:r>
          </w:p>
        </w:tc>
        <w:tc>
          <w:tcPr>
            <w:tcW w:w="3119" w:type="dxa"/>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right="12"/>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Забезпечує стійкий позитивний результат, ретельно вивчає критерії оцінювання, користується ними на практиці; об'єктивний в оцінюванні знань учнів</w:t>
            </w:r>
          </w:p>
        </w:tc>
        <w:tc>
          <w:tcPr>
            <w:tcW w:w="2813" w:type="dxa"/>
            <w:gridSpan w:val="2"/>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90"/>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Учні демонструють знання теоретичних і практичних основ предмета; показують хороші результати за наслідками зрізів, перевірних робіт, екзаменів</w:t>
            </w:r>
          </w:p>
        </w:tc>
        <w:tc>
          <w:tcPr>
            <w:tcW w:w="1723" w:type="dxa"/>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Учні реалізують свої інтелектуальні можливості чи близькі до цього; добре сприймають, засвоюють і відтворюють пройдений навчальний матеріал, демонструють глибокі, міцні знання теорії й навички розв'язування практичних завдань, здатні включитися в самостійний пізнавальний пошук</w:t>
            </w:r>
          </w:p>
        </w:tc>
      </w:tr>
      <w:tr>
        <w:tblPrEx>
          <w:tblCellMar>
            <w:top w:w="0" w:type="dxa"/>
            <w:left w:w="0" w:type="dxa"/>
            <w:bottom w:w="0" w:type="dxa"/>
            <w:right w:w="0" w:type="dxa"/>
          </w:tblCellMar>
        </w:tblPrEx>
        <w:trPr>
          <w:trHeight w:val="293" w:hRule="atLeast"/>
        </w:trPr>
        <w:tc>
          <w:tcPr>
            <w:tcW w:w="10207" w:type="dxa"/>
            <w:gridSpan w:val="6"/>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50"/>
              <w:jc w:val="center"/>
              <w:rPr>
                <w:rFonts w:ascii="Times New Roman" w:hAnsi="Times New Roman" w:eastAsia="Times New Roman" w:cs="Times New Roman"/>
                <w:sz w:val="28"/>
                <w:szCs w:val="28"/>
                <w:lang w:eastAsia="ru-RU"/>
              </w:rPr>
            </w:pPr>
            <w:r>
              <w:rPr>
                <w:rFonts w:ascii="Times New Roman" w:hAnsi="Times New Roman" w:eastAsia="Times New Roman" w:cs="Times New Roman"/>
                <w:b/>
                <w:bCs/>
                <w:sz w:val="28"/>
                <w:szCs w:val="28"/>
                <w:lang w:eastAsia="ru-RU"/>
              </w:rPr>
              <w:t>ІІІ. Комунікативна культура</w:t>
            </w:r>
          </w:p>
        </w:tc>
      </w:tr>
      <w:tr>
        <w:tblPrEx>
          <w:tblCellMar>
            <w:top w:w="0" w:type="dxa"/>
            <w:left w:w="0" w:type="dxa"/>
            <w:bottom w:w="0" w:type="dxa"/>
            <w:right w:w="0" w:type="dxa"/>
          </w:tblCellMar>
        </w:tblPrEx>
        <w:trPr>
          <w:trHeight w:val="269" w:hRule="atLeast"/>
        </w:trPr>
        <w:tc>
          <w:tcPr>
            <w:tcW w:w="2552" w:type="dxa"/>
            <w:gridSpan w:val="2"/>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119"/>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Критерії</w:t>
            </w:r>
          </w:p>
        </w:tc>
        <w:tc>
          <w:tcPr>
            <w:tcW w:w="3119"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другої категорії</w:t>
            </w:r>
          </w:p>
        </w:tc>
        <w:tc>
          <w:tcPr>
            <w:tcW w:w="2757"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першої категорії</w:t>
            </w:r>
          </w:p>
        </w:tc>
        <w:tc>
          <w:tcPr>
            <w:tcW w:w="1779"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152"/>
              <w:jc w:val="center"/>
              <w:rPr>
                <w:rFonts w:ascii="Times New Roman" w:hAnsi="Times New Roman" w:eastAsia="Times New Roman" w:cs="Times New Roman"/>
                <w:i/>
                <w:sz w:val="28"/>
                <w:szCs w:val="28"/>
                <w:lang w:eastAsia="ru-RU"/>
              </w:rPr>
            </w:pPr>
            <w:r>
              <w:rPr>
                <w:rFonts w:ascii="Times New Roman" w:hAnsi="Times New Roman" w:eastAsia="Times New Roman" w:cs="Times New Roman"/>
                <w:bCs/>
                <w:i/>
                <w:sz w:val="28"/>
                <w:szCs w:val="28"/>
                <w:lang w:eastAsia="ru-RU"/>
              </w:rPr>
              <w:t>Спеціаліст вищої категорії</w:t>
            </w:r>
          </w:p>
        </w:tc>
      </w:tr>
      <w:tr>
        <w:tblPrEx>
          <w:tblCellMar>
            <w:top w:w="0" w:type="dxa"/>
            <w:left w:w="0" w:type="dxa"/>
            <w:bottom w:w="0" w:type="dxa"/>
            <w:right w:w="0" w:type="dxa"/>
          </w:tblCellMar>
        </w:tblPrEx>
        <w:trPr>
          <w:trHeight w:val="3005" w:hRule="atLeast"/>
        </w:trPr>
        <w:tc>
          <w:tcPr>
            <w:tcW w:w="2552" w:type="dxa"/>
            <w:gridSpan w:val="2"/>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right="12" w:firstLine="43"/>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 Комунікативні й організаторські здібності</w:t>
            </w:r>
          </w:p>
        </w:tc>
        <w:tc>
          <w:tcPr>
            <w:tcW w:w="3119"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44" w:firstLine="2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Прагне до контактів з людьми. Не обмежує коло знайомих; відстоює власну думку; планує свою роботу, проте потенціал його нахилів не вирізняється високою стійкістю</w:t>
            </w:r>
          </w:p>
        </w:tc>
        <w:tc>
          <w:tcPr>
            <w:tcW w:w="2757"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48" w:firstLine="2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Швидко знаходить друзів, постійно прагне розширити коло своїх знайомих; допомагає близьким, друзям; проявляє ініціативу в спілкуванні; із задоволенням бере участь в організації громадських заходів; здатний прийняти самостійне рішення в складній ситуації. Усе виконує за внутрішнім переконанням, а не з примусу. Наполегливий у діяльності, яка його приваблює</w:t>
            </w:r>
          </w:p>
        </w:tc>
        <w:tc>
          <w:tcPr>
            <w:tcW w:w="1779"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53" w:firstLine="29"/>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Відчуває потребу в комунікативній і організаторській діяльності; швидко орієнтується в складних ситуаціях; невимушено почувається в новому колективі; ініціативний, у важких випадках віддає перевагу самостійним рішенням; відстоює власну думку й домагається її прийняття. Шукає такі справи, які б задовольнили його потребу в комунікації та організаторській діяльності</w:t>
            </w:r>
          </w:p>
        </w:tc>
      </w:tr>
      <w:tr>
        <w:tblPrEx>
          <w:tblCellMar>
            <w:top w:w="0" w:type="dxa"/>
            <w:left w:w="0" w:type="dxa"/>
            <w:bottom w:w="0" w:type="dxa"/>
            <w:right w:w="0" w:type="dxa"/>
          </w:tblCellMar>
        </w:tblPrEx>
        <w:trPr>
          <w:trHeight w:val="3005" w:hRule="atLeast"/>
        </w:trPr>
        <w:tc>
          <w:tcPr>
            <w:tcW w:w="2552" w:type="dxa"/>
            <w:gridSpan w:val="2"/>
            <w:tcBorders>
              <w:top w:val="single" w:color="auto" w:sz="4" w:space="0"/>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29" w:right="41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 Здатність до співпраці з учнями</w:t>
            </w:r>
          </w:p>
        </w:tc>
        <w:tc>
          <w:tcPr>
            <w:tcW w:w="3119" w:type="dxa"/>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Володіє відомими в педагогіці прийомами переконливого впливу, але використовує їх без аналізу ситуації</w:t>
            </w:r>
          </w:p>
        </w:tc>
        <w:tc>
          <w:tcPr>
            <w:tcW w:w="2757" w:type="dxa"/>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ight="4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Обговорює й аналізує ситуації разом з учнями і залишає за ними право приймати власні рішення. Уміє сформувати громадську позицію учня, його реальну соціальну поведінку й вчинки, світогляд і ставлення до учня, а також готовність до подальших виховних впливів учителя</w:t>
            </w:r>
          </w:p>
        </w:tc>
        <w:tc>
          <w:tcPr>
            <w:tcW w:w="1779" w:type="dxa"/>
            <w:gridSpan w:val="2"/>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2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Веде постійний пошук нових прийомів переконливого впливу й передбачає їх можливе використання в спілкуванні. Виховує вміння толерантно ставитися До чужих поглядів. Уміє обґрунтовано користуватися поєднанням методів навчання й виховання, що дає змогу досягти хороших результатів при оптимальному докладанні розумових, вольових та емоційних зусиль учителя й учнів</w:t>
            </w:r>
          </w:p>
        </w:tc>
      </w:tr>
      <w:tr>
        <w:tblPrEx>
          <w:tblCellMar>
            <w:top w:w="0" w:type="dxa"/>
            <w:left w:w="0" w:type="dxa"/>
            <w:bottom w:w="0" w:type="dxa"/>
            <w:right w:w="0" w:type="dxa"/>
          </w:tblCellMar>
        </w:tblPrEx>
        <w:trPr>
          <w:trHeight w:val="1622" w:hRule="atLeast"/>
        </w:trPr>
        <w:tc>
          <w:tcPr>
            <w:tcW w:w="2552" w:type="dxa"/>
            <w:gridSpan w:val="2"/>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 Готовність до співпраці з колегами</w:t>
            </w:r>
          </w:p>
        </w:tc>
        <w:tc>
          <w:tcPr>
            <w:tcW w:w="3119"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ight="172"/>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Володіє адаптивним стилем поведінки, педагогічного спілкування; намагається створити навколо себе доброзичливу обстановку співпраці з колегами</w:t>
            </w:r>
          </w:p>
        </w:tc>
        <w:tc>
          <w:tcPr>
            <w:tcW w:w="2757"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Намагається вибрати стосовно кожного з колег такий спосіб поведінки, де найкраще поєднується індивідуальний підхід з утвердженням колективістських принципів моралі</w:t>
            </w:r>
          </w:p>
        </w:tc>
        <w:tc>
          <w:tcPr>
            <w:tcW w:w="1779"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24" w:right="10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Неухильно дотримується професійної етики спілкування; у будь-якій ситуації координує свої дії з колегами</w:t>
            </w:r>
          </w:p>
        </w:tc>
      </w:tr>
      <w:tr>
        <w:tblPrEx>
          <w:tblCellMar>
            <w:top w:w="0" w:type="dxa"/>
            <w:left w:w="0" w:type="dxa"/>
            <w:bottom w:w="0" w:type="dxa"/>
            <w:right w:w="0" w:type="dxa"/>
          </w:tblCellMar>
        </w:tblPrEx>
        <w:trPr>
          <w:trHeight w:val="1627" w:hRule="atLeast"/>
        </w:trPr>
        <w:tc>
          <w:tcPr>
            <w:tcW w:w="2552" w:type="dxa"/>
            <w:gridSpan w:val="2"/>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63" w:lineRule="atLeast"/>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 Готовність до співпраці з</w:t>
            </w:r>
          </w:p>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батьками</w:t>
            </w:r>
          </w:p>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w:t>
            </w:r>
          </w:p>
        </w:tc>
        <w:tc>
          <w:tcPr>
            <w:tcW w:w="3119"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Визначає педагогічні завдання з урахуванням особливостей дітей і потреб сім'ї, систематично співпрацює з батьками</w:t>
            </w:r>
          </w:p>
        </w:tc>
        <w:tc>
          <w:tcPr>
            <w:tcW w:w="2757"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Залучає батьків до діяльності; спрямованої на створення умов, сприятливих для розвитку їхніх дітей; формує в батьків позитивне ставлення до оволодіння знаннями педагогіки й психології</w:t>
            </w:r>
          </w:p>
        </w:tc>
        <w:tc>
          <w:tcPr>
            <w:tcW w:w="1779"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2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Налагоджує контакт із сім'єю не тільки тоді, коли потрібна допомога батьків, а постійно, домагаючись відвертості, взаєморозуміння, чуйності</w:t>
            </w:r>
          </w:p>
        </w:tc>
      </w:tr>
      <w:tr>
        <w:tblPrEx>
          <w:tblCellMar>
            <w:top w:w="0" w:type="dxa"/>
            <w:left w:w="0" w:type="dxa"/>
            <w:bottom w:w="0" w:type="dxa"/>
            <w:right w:w="0" w:type="dxa"/>
          </w:tblCellMar>
        </w:tblPrEx>
        <w:trPr>
          <w:trHeight w:val="1166" w:hRule="atLeast"/>
        </w:trPr>
        <w:tc>
          <w:tcPr>
            <w:tcW w:w="2552" w:type="dxa"/>
            <w:gridSpan w:val="2"/>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5. Педагогічний такт</w:t>
            </w:r>
          </w:p>
        </w:tc>
        <w:tc>
          <w:tcPr>
            <w:tcW w:w="3119"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ight="2"/>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Володіє педагогічним тактом, а деякі його порушення не позначаються негативно на стосунках з учнями</w:t>
            </w:r>
          </w:p>
        </w:tc>
        <w:tc>
          <w:tcPr>
            <w:tcW w:w="2757"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Стосунки з дітьми будує на довірі, повазі, вимогливості, справедливості</w:t>
            </w:r>
          </w:p>
        </w:tc>
        <w:tc>
          <w:tcPr>
            <w:tcW w:w="1779"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rPr>
                <w:rFonts w:ascii="Times New Roman" w:hAnsi="Times New Roman"/>
                <w:sz w:val="28"/>
                <w:szCs w:val="28"/>
                <w:lang w:val="uk-UA"/>
              </w:rPr>
            </w:pPr>
            <w:r>
              <w:rPr>
                <w:rFonts w:ascii="Times New Roman" w:hAnsi="Times New Roman"/>
                <w:sz w:val="28"/>
                <w:szCs w:val="28"/>
                <w:lang w:val="uk-UA"/>
              </w:rPr>
              <w:t>Комунікативна компетентність яких відповідає вимогам сучасної педагогічної практики орієнтовані насамперед на діалогічну стратегію взаємодії з дітьми.</w:t>
            </w:r>
          </w:p>
          <w:p>
            <w:pPr>
              <w:shd w:val="clear" w:color="auto" w:fill="FFFFFF" w:themeFill="background1"/>
              <w:spacing w:after="0" w:line="287" w:lineRule="atLeast"/>
              <w:rPr>
                <w:rFonts w:ascii="Times New Roman" w:hAnsi="Times New Roman" w:eastAsia="Times New Roman" w:cs="Times New Roman"/>
                <w:sz w:val="28"/>
                <w:szCs w:val="28"/>
                <w:lang w:val="uk-UA" w:eastAsia="ru-RU"/>
              </w:rPr>
            </w:pPr>
            <w:r>
              <w:rPr>
                <w:rFonts w:ascii="Times New Roman" w:hAnsi="Times New Roman"/>
                <w:sz w:val="28"/>
                <w:szCs w:val="28"/>
                <w:lang w:val="uk-UA"/>
              </w:rPr>
              <w:t>прагнення до взаємопорозуміння та співробітництва; індивідуальний підхід до вирішення педагогічних задач; поглиблене та адекватне сприймання та розуміння поведінки дітей, їх особистісної проблематики; цілісний вплив на особистість та її ціннісно-смислові позиції; висока імпровізаційність у спілкуванні, готовність до новизни, орієнтація на обговорення, дискусію, прагнення до власного професійного та особистісного розвитку.</w:t>
            </w:r>
          </w:p>
        </w:tc>
      </w:tr>
      <w:tr>
        <w:tblPrEx>
          <w:tblCellMar>
            <w:top w:w="0" w:type="dxa"/>
            <w:left w:w="0" w:type="dxa"/>
            <w:bottom w:w="0" w:type="dxa"/>
            <w:right w:w="0" w:type="dxa"/>
          </w:tblCellMar>
        </w:tblPrEx>
        <w:trPr>
          <w:trHeight w:val="1397" w:hRule="atLeast"/>
        </w:trPr>
        <w:tc>
          <w:tcPr>
            <w:tcW w:w="2552" w:type="dxa"/>
            <w:gridSpan w:val="2"/>
            <w:tcBorders>
              <w:top w:val="single" w:color="auto" w:sz="4" w:space="0"/>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6. Педагогічна культура</w:t>
            </w:r>
          </w:p>
        </w:tc>
        <w:tc>
          <w:tcPr>
            <w:tcW w:w="3119" w:type="dxa"/>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ight="94"/>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Знає елементарні вимоги до мови, специфіку інтонацій у Мовленні, темпу мовлення дотримується не завжди</w:t>
            </w:r>
          </w:p>
        </w:tc>
        <w:tc>
          <w:tcPr>
            <w:tcW w:w="2757" w:type="dxa"/>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Уміє чітко й логічно висловлювати думки в усній, письмовій та графічній формі. Має багатий словниковий запас, добру дикцію, правильну інтонацію</w:t>
            </w:r>
          </w:p>
        </w:tc>
        <w:tc>
          <w:tcPr>
            <w:tcW w:w="1779" w:type="dxa"/>
            <w:gridSpan w:val="2"/>
            <w:tcBorders>
              <w:top w:val="single" w:color="auto" w:sz="4" w:space="0"/>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24" w:right="149"/>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Досконало володіє своєю мовою, словом, професійною термінологією</w:t>
            </w:r>
          </w:p>
        </w:tc>
      </w:tr>
      <w:tr>
        <w:tblPrEx>
          <w:tblCellMar>
            <w:top w:w="0" w:type="dxa"/>
            <w:left w:w="0" w:type="dxa"/>
            <w:bottom w:w="0" w:type="dxa"/>
            <w:right w:w="0" w:type="dxa"/>
          </w:tblCellMar>
        </w:tblPrEx>
        <w:trPr>
          <w:trHeight w:val="1853" w:hRule="atLeast"/>
        </w:trPr>
        <w:tc>
          <w:tcPr>
            <w:tcW w:w="2552" w:type="dxa"/>
            <w:gridSpan w:val="2"/>
            <w:tcBorders>
              <w:top w:val="nil"/>
              <w:left w:val="single" w:color="000000" w:sz="8" w:space="0"/>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7. Створення комфортного мікроклімату</w:t>
            </w:r>
          </w:p>
        </w:tc>
        <w:tc>
          <w:tcPr>
            <w:tcW w:w="3119"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ight="254"/>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Глибоко вірить у великі можливості кожного учня. Створює сприятливий морально-психологічний клімат для кожної дитини</w:t>
            </w:r>
          </w:p>
        </w:tc>
        <w:tc>
          <w:tcPr>
            <w:tcW w:w="2757" w:type="dxa"/>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3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Наполегливо формує моральні уявлення, поняття учнів, виховує почуття гуманності, співчуття, жалю, чуйності. Створює умови для розвитку талантів, розумових і фізичних здібностей, загальної культури особистості</w:t>
            </w:r>
          </w:p>
        </w:tc>
        <w:tc>
          <w:tcPr>
            <w:tcW w:w="1779" w:type="dxa"/>
            <w:gridSpan w:val="2"/>
            <w:tcBorders>
              <w:top w:val="nil"/>
              <w:left w:val="nil"/>
              <w:bottom w:val="single" w:color="000000" w:sz="8" w:space="0"/>
              <w:right w:val="single" w:color="000000" w:sz="8" w:space="0"/>
            </w:tcBorders>
            <w:tcMar>
              <w:top w:w="5" w:type="dxa"/>
              <w:left w:w="41" w:type="dxa"/>
              <w:bottom w:w="0" w:type="dxa"/>
              <w:right w:w="0" w:type="dxa"/>
            </w:tcMar>
          </w:tcPr>
          <w:p>
            <w:pPr>
              <w:shd w:val="clear" w:color="auto" w:fill="FFFFFF" w:themeFill="background1"/>
              <w:spacing w:after="0" w:line="287" w:lineRule="atLeast"/>
              <w:ind w:left="24"/>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Сприяє пошуку, відбору і творчому розвиткові обдарованих дітей</w:t>
            </w:r>
          </w:p>
        </w:tc>
      </w:tr>
    </w:tbl>
    <w:p>
      <w:pPr>
        <w:shd w:val="clear" w:color="auto" w:fill="FFFFFF"/>
        <w:spacing w:after="0"/>
        <w:jc w:val="both"/>
        <w:rPr>
          <w:rFonts w:ascii="Times New Roman" w:hAnsi="Times New Roman" w:eastAsia="Times New Roman" w:cs="Times New Roman"/>
          <w:color w:val="000000"/>
          <w:sz w:val="28"/>
          <w:szCs w:val="28"/>
          <w:lang w:val="uk-UA" w:eastAsia="ru-RU"/>
        </w:rPr>
      </w:pPr>
      <w:r>
        <w:rPr>
          <w:rFonts w:ascii="Times New Roman" w:hAnsi="Times New Roman" w:eastAsia="Times New Roman" w:cs="Times New Roman"/>
          <w:b/>
          <w:bCs/>
          <w:color w:val="000000"/>
          <w:sz w:val="28"/>
          <w:szCs w:val="28"/>
          <w:lang w:val="uk-UA" w:eastAsia="ru-RU"/>
        </w:rPr>
        <w:t>Сертифікація педагогічних працівників</w:t>
      </w:r>
      <w:r>
        <w:rPr>
          <w:rFonts w:ascii="Times New Roman" w:hAnsi="Times New Roman" w:eastAsia="Times New Roman" w:cs="Times New Roman"/>
          <w:color w:val="000000"/>
          <w:sz w:val="28"/>
          <w:szCs w:val="28"/>
          <w:lang w:val="uk-UA" w:eastAsia="ru-RU"/>
        </w:rPr>
        <w:t xml:space="preserve"> – це зовнішнє оцінювання професійних компетентностей педагогічного працівника (у тому числі з педагогіки та психології, практичних вмінь застосування сучасних методів і технологій навчання), що здійснюється шляхом незалежного тестування, самооцінювання та вивчення практичного досвіду роботи.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Сертифікація здійснюється на підставі </w:t>
      </w:r>
      <w:r>
        <w:fldChar w:fldCharType="begin"/>
      </w:r>
      <w:r>
        <w:instrText xml:space="preserve"> HYPERLINK "https://www.kmu.gov.ua/ua/npas/pro-zatverdzhennya-polozhennya-pro-sertifikaciyu-pedagogichnih-pracivnikiv?fbclid=IwAR2yJ2k9M8jI_bOINrOEbr2wrn0_xJjSrzBaOEP1VtWwDGjH1LgTzJQ00DA" \t "_blank" </w:instrText>
      </w:r>
      <w:r>
        <w:fldChar w:fldCharType="separate"/>
      </w:r>
      <w:r>
        <w:rPr>
          <w:rStyle w:val="10"/>
          <w:color w:val="auto"/>
          <w:sz w:val="28"/>
          <w:szCs w:val="28"/>
          <w:u w:val="none"/>
          <w:shd w:val="clear" w:color="auto" w:fill="FFFFFF"/>
          <w:lang w:val="uk-UA"/>
        </w:rPr>
        <w:t>Постанова КМУ від 27.12.2018 №1190 «Про затвердження Положення про сертифікацію педагогічних працівників»</w:t>
      </w:r>
      <w:r>
        <w:rPr>
          <w:rStyle w:val="10"/>
          <w:color w:val="auto"/>
          <w:sz w:val="28"/>
          <w:szCs w:val="28"/>
          <w:u w:val="none"/>
          <w:shd w:val="clear" w:color="auto" w:fill="FFFFFF"/>
          <w:lang w:val="uk-UA"/>
        </w:rPr>
        <w:fldChar w:fldCharType="end"/>
      </w:r>
      <w:r>
        <w:rPr>
          <w:sz w:val="28"/>
          <w:szCs w:val="28"/>
          <w:lang w:val="uk-UA"/>
        </w:rPr>
        <w:t xml:space="preserve">, </w:t>
      </w:r>
      <w:r>
        <w:fldChar w:fldCharType="begin"/>
      </w:r>
      <w:r>
        <w:instrText xml:space="preserve"> HYPERLINK "https://www.kmu.gov.ua/npas/pro-vnesenmin-do-polozhennya-pro-a1094?fbclid=IwAR046zs5C7fiUsgga6aoJMGxVCObVW3DAv_0olxkiyprq5tYL73p-RzmuUc" \t "_blank" </w:instrText>
      </w:r>
      <w:r>
        <w:fldChar w:fldCharType="separate"/>
      </w:r>
      <w:r>
        <w:rPr>
          <w:rStyle w:val="10"/>
          <w:color w:val="auto"/>
          <w:sz w:val="28"/>
          <w:szCs w:val="28"/>
          <w:u w:val="none"/>
          <w:shd w:val="clear" w:color="auto" w:fill="FFFFFF"/>
          <w:lang w:val="uk-UA"/>
        </w:rPr>
        <w:t>Постанову Кабінету Міністрів України</w:t>
      </w:r>
      <w:r>
        <w:rPr>
          <w:rStyle w:val="10"/>
          <w:color w:val="auto"/>
          <w:sz w:val="28"/>
          <w:szCs w:val="28"/>
          <w:u w:val="none"/>
          <w:shd w:val="clear" w:color="auto" w:fill="FFFFFF"/>
          <w:lang w:val="uk-UA"/>
        </w:rPr>
        <w:fldChar w:fldCharType="end"/>
      </w:r>
      <w:r>
        <w:rPr>
          <w:sz w:val="28"/>
          <w:szCs w:val="28"/>
          <w:shd w:val="clear" w:color="auto" w:fill="FFFFFF"/>
          <w:lang w:val="uk-UA"/>
        </w:rPr>
        <w:t xml:space="preserve"> «Про внесення змін до Положення про сертифікацію педагогічних працівників» від 24 грудня 2019 р. № 1094 опубліковано на сайті Уряду, </w:t>
      </w:r>
      <w:r>
        <w:fldChar w:fldCharType="begin"/>
      </w:r>
      <w:r>
        <w:instrText xml:space="preserve"> HYPERLINK "http://testportal.gov.ua/wp-content/uploads/2019/12/Nakaz-1634-Pro-deyaki-pytannya-provedennya-sertyfikatsiyi-v-2020-rotsi.pdf" \t "_blank" </w:instrText>
      </w:r>
      <w:r>
        <w:fldChar w:fldCharType="separate"/>
      </w:r>
      <w:r>
        <w:rPr>
          <w:rStyle w:val="10"/>
          <w:color w:val="auto"/>
          <w:sz w:val="28"/>
          <w:szCs w:val="28"/>
          <w:u w:val="none"/>
          <w:lang w:val="uk-UA"/>
        </w:rPr>
        <w:t>Наказ Міністерства освіти і науки України від 26.12.2019 №1634 «Про деякі питання проведення сертифікації в 2020 році»</w:t>
      </w:r>
      <w:r>
        <w:rPr>
          <w:rStyle w:val="10"/>
          <w:color w:val="auto"/>
          <w:sz w:val="28"/>
          <w:szCs w:val="28"/>
          <w:u w:val="none"/>
          <w:lang w:val="uk-UA"/>
        </w:rPr>
        <w:fldChar w:fldCharType="end"/>
      </w:r>
      <w:r>
        <w:rPr>
          <w:sz w:val="28"/>
          <w:szCs w:val="28"/>
          <w:lang w:val="uk-UA"/>
        </w:rPr>
        <w:t xml:space="preserve">, </w:t>
      </w:r>
      <w:r>
        <w:fldChar w:fldCharType="begin"/>
      </w:r>
      <w:r>
        <w:instrText xml:space="preserve"> HYPERLINK "http://testportal.gov.ua/wp-content/uploads/2020/01/Nakaz-UTSOYAO_9-vid-14.01.2020.pdf" \t "_blank" </w:instrText>
      </w:r>
      <w:r>
        <w:fldChar w:fldCharType="separate"/>
      </w:r>
      <w:r>
        <w:rPr>
          <w:rStyle w:val="10"/>
          <w:color w:val="auto"/>
          <w:sz w:val="28"/>
          <w:szCs w:val="28"/>
          <w:u w:val="none"/>
          <w:lang w:val="uk-UA"/>
        </w:rPr>
        <w:t>Наказ Українського центру оцінювання якості освіти від 14.01.2020 № 9 «Деякі питання проведення незалежного тестування професійних компетентностей педагогічних працівників у 2020 році»</w:t>
      </w:r>
      <w:r>
        <w:rPr>
          <w:rStyle w:val="10"/>
          <w:color w:val="auto"/>
          <w:sz w:val="28"/>
          <w:szCs w:val="28"/>
          <w:u w:val="none"/>
          <w:lang w:val="uk-UA"/>
        </w:rPr>
        <w:fldChar w:fldCharType="end"/>
      </w:r>
      <w:r>
        <w:rPr>
          <w:sz w:val="28"/>
          <w:szCs w:val="28"/>
          <w:lang w:val="uk-UA"/>
        </w:rPr>
        <w:t xml:space="preserve">, </w:t>
      </w:r>
      <w:r>
        <w:fldChar w:fldCharType="begin"/>
      </w:r>
      <w:r>
        <w:instrText xml:space="preserve"> HYPERLINK "http://testportal.gov.ua/wp-content/uploads/2020/02/Pravyla_prohodzhennya_2020.pdf" \t "_blank" </w:instrText>
      </w:r>
      <w:r>
        <w:fldChar w:fldCharType="separate"/>
      </w:r>
      <w:r>
        <w:rPr>
          <w:rStyle w:val="10"/>
          <w:color w:val="auto"/>
          <w:sz w:val="28"/>
          <w:szCs w:val="28"/>
          <w:u w:val="none"/>
          <w:lang w:val="uk-UA"/>
        </w:rPr>
        <w:t>Наказ Українського центру оцінювання якості освіти від 21.01.2020 №13 «Правила проходження в 2020 році незалежного тестування фахових знань і вмінь учасників сертифікації»</w:t>
      </w:r>
      <w:r>
        <w:rPr>
          <w:rStyle w:val="10"/>
          <w:color w:val="auto"/>
          <w:sz w:val="28"/>
          <w:szCs w:val="28"/>
          <w:u w:val="none"/>
          <w:lang w:val="uk-UA"/>
        </w:rPr>
        <w:fldChar w:fldCharType="end"/>
      </w:r>
      <w:r>
        <w:rPr>
          <w:sz w:val="28"/>
          <w:szCs w:val="28"/>
          <w:lang w:val="uk-UA"/>
        </w:rPr>
        <w:t xml:space="preserve">, </w:t>
      </w:r>
      <w:r>
        <w:fldChar w:fldCharType="begin"/>
      </w:r>
      <w:r>
        <w:instrText xml:space="preserve"> HYPERLINK "http://zakon.rada.gov.ua/laws/show/2145-19" \t "_blank" </w:instrText>
      </w:r>
      <w:r>
        <w:fldChar w:fldCharType="separate"/>
      </w:r>
      <w:r>
        <w:rPr>
          <w:rStyle w:val="10"/>
          <w:color w:val="auto"/>
          <w:sz w:val="28"/>
          <w:szCs w:val="28"/>
          <w:u w:val="none"/>
          <w:lang w:val="uk-UA"/>
        </w:rPr>
        <w:t>Закон України</w:t>
      </w:r>
      <w:r>
        <w:rPr>
          <w:rStyle w:val="10"/>
          <w:color w:val="auto"/>
          <w:sz w:val="28"/>
          <w:szCs w:val="28"/>
          <w:u w:val="none"/>
          <w:lang w:val="uk-UA"/>
        </w:rPr>
        <w:fldChar w:fldCharType="end"/>
      </w:r>
      <w:r>
        <w:rPr>
          <w:sz w:val="28"/>
          <w:szCs w:val="28"/>
          <w:lang w:val="uk-UA"/>
        </w:rPr>
        <w:t xml:space="preserve"> </w:t>
      </w:r>
      <w:r>
        <w:fldChar w:fldCharType="begin"/>
      </w:r>
      <w:r>
        <w:instrText xml:space="preserve"> HYPERLINK "http://zakon.rada.gov.ua/laws/show/2145-19" \t "_blank" </w:instrText>
      </w:r>
      <w:r>
        <w:fldChar w:fldCharType="separate"/>
      </w:r>
      <w:r>
        <w:rPr>
          <w:rStyle w:val="10"/>
          <w:color w:val="auto"/>
          <w:sz w:val="28"/>
          <w:szCs w:val="28"/>
          <w:u w:val="none"/>
          <w:lang w:val="uk-UA"/>
        </w:rPr>
        <w:t>від 05.09.2017 №2145-</w:t>
      </w:r>
      <w:r>
        <w:rPr>
          <w:rStyle w:val="10"/>
          <w:color w:val="auto"/>
          <w:sz w:val="28"/>
          <w:szCs w:val="28"/>
          <w:u w:val="none"/>
        </w:rPr>
        <w:t>VII</w:t>
      </w:r>
      <w:r>
        <w:rPr>
          <w:rStyle w:val="10"/>
          <w:color w:val="auto"/>
          <w:sz w:val="28"/>
          <w:szCs w:val="28"/>
          <w:u w:val="none"/>
          <w:lang w:val="uk-UA"/>
        </w:rPr>
        <w:t>І «Про освіту»</w:t>
      </w:r>
      <w:r>
        <w:rPr>
          <w:rStyle w:val="10"/>
          <w:color w:val="auto"/>
          <w:sz w:val="28"/>
          <w:szCs w:val="28"/>
          <w:u w:val="none"/>
          <w:lang w:val="uk-UA"/>
        </w:rPr>
        <w:fldChar w:fldCharType="end"/>
      </w:r>
      <w:r>
        <w:rPr>
          <w:sz w:val="28"/>
          <w:szCs w:val="28"/>
          <w:lang w:val="uk-UA"/>
        </w:rPr>
        <w:t>.</w:t>
      </w:r>
    </w:p>
    <w:p>
      <w:pPr>
        <w:pStyle w:val="17"/>
        <w:shd w:val="clear" w:color="auto" w:fill="FFFFFF"/>
        <w:spacing w:before="0" w:beforeAutospacing="0" w:after="0" w:afterAutospacing="0" w:line="276" w:lineRule="auto"/>
        <w:ind w:firstLine="708"/>
        <w:jc w:val="both"/>
        <w:rPr>
          <w:sz w:val="28"/>
          <w:szCs w:val="28"/>
        </w:rPr>
      </w:pPr>
      <w:r>
        <w:rPr>
          <w:sz w:val="28"/>
          <w:szCs w:val="28"/>
        </w:rPr>
        <w:t>Педагогічні працівники беруть участь у сертифікації виключно на добровільних засадах і можуть відмовитися від участі на будь</w:t>
      </w:r>
      <w:r>
        <w:rPr>
          <w:sz w:val="28"/>
          <w:szCs w:val="28"/>
          <w:lang w:val="uk-UA"/>
        </w:rPr>
        <w:t xml:space="preserve"> </w:t>
      </w:r>
      <w:r>
        <w:rPr>
          <w:sz w:val="28"/>
          <w:szCs w:val="28"/>
        </w:rPr>
        <w:t>-</w:t>
      </w:r>
      <w:r>
        <w:rPr>
          <w:sz w:val="28"/>
          <w:szCs w:val="28"/>
          <w:lang w:val="uk-UA"/>
        </w:rPr>
        <w:t xml:space="preserve"> </w:t>
      </w:r>
      <w:r>
        <w:rPr>
          <w:sz w:val="28"/>
          <w:szCs w:val="28"/>
        </w:rPr>
        <w:t>якому її етапі.</w:t>
      </w:r>
    </w:p>
    <w:p>
      <w:pPr>
        <w:pStyle w:val="17"/>
        <w:shd w:val="clear" w:color="auto" w:fill="FFFFFF"/>
        <w:spacing w:before="0" w:beforeAutospacing="0" w:after="0" w:afterAutospacing="0" w:line="276" w:lineRule="auto"/>
        <w:jc w:val="both"/>
        <w:rPr>
          <w:sz w:val="28"/>
          <w:szCs w:val="28"/>
        </w:rPr>
      </w:pPr>
      <w:r>
        <w:rPr>
          <w:sz w:val="28"/>
          <w:szCs w:val="28"/>
        </w:rPr>
        <w:t>Сертифікація складається з трьох етапів, що відбуваються послідовно один за одним, а саме із:</w:t>
      </w:r>
    </w:p>
    <w:p>
      <w:pPr>
        <w:pStyle w:val="17"/>
        <w:shd w:val="clear" w:color="auto" w:fill="FFFFFF"/>
        <w:spacing w:before="0" w:beforeAutospacing="0" w:after="0" w:afterAutospacing="0" w:line="276" w:lineRule="auto"/>
        <w:jc w:val="both"/>
        <w:rPr>
          <w:sz w:val="28"/>
          <w:szCs w:val="28"/>
        </w:rPr>
      </w:pPr>
      <w:r>
        <w:rPr>
          <w:sz w:val="28"/>
          <w:szCs w:val="28"/>
        </w:rPr>
        <w:t>1) незалежного тестування учасників сертифікації;</w:t>
      </w:r>
    </w:p>
    <w:p>
      <w:pPr>
        <w:pStyle w:val="17"/>
        <w:shd w:val="clear" w:color="auto" w:fill="FFFFFF"/>
        <w:spacing w:before="0" w:beforeAutospacing="0" w:after="0" w:afterAutospacing="0" w:line="276" w:lineRule="auto"/>
        <w:jc w:val="both"/>
        <w:rPr>
          <w:sz w:val="28"/>
          <w:szCs w:val="28"/>
        </w:rPr>
      </w:pPr>
      <w:r>
        <w:rPr>
          <w:sz w:val="28"/>
          <w:szCs w:val="28"/>
        </w:rPr>
        <w:t>2) самооцінювання учасниками сертифікації власної педагогічної майстерності;</w:t>
      </w:r>
    </w:p>
    <w:p>
      <w:pPr>
        <w:pStyle w:val="17"/>
        <w:shd w:val="clear" w:color="auto" w:fill="FFFFFF"/>
        <w:spacing w:before="0" w:beforeAutospacing="0" w:after="0" w:afterAutospacing="0" w:line="276" w:lineRule="auto"/>
        <w:jc w:val="both"/>
        <w:rPr>
          <w:sz w:val="28"/>
          <w:szCs w:val="28"/>
        </w:rPr>
      </w:pPr>
      <w:r>
        <w:rPr>
          <w:sz w:val="28"/>
          <w:szCs w:val="28"/>
        </w:rPr>
        <w:t>3) вивчення практичного досвіду роботи учасників сертифікації.</w:t>
      </w:r>
    </w:p>
    <w:p>
      <w:pPr>
        <w:shd w:val="clear" w:color="auto" w:fill="FFFFFF"/>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Сертифікація педагогічного працівника відбувається на добровільних засадах виключно за його ініціативою.</w:t>
      </w:r>
    </w:p>
    <w:p>
      <w:pPr>
        <w:pStyle w:val="5"/>
        <w:spacing w:before="0" w:beforeAutospacing="0" w:after="0" w:afterAutospacing="0" w:line="276" w:lineRule="auto"/>
        <w:jc w:val="center"/>
        <w:rPr>
          <w:iCs/>
          <w:sz w:val="28"/>
          <w:szCs w:val="28"/>
          <w:shd w:val="clear" w:color="auto" w:fill="FFFFFF"/>
          <w:lang w:val="uk-UA"/>
        </w:rPr>
      </w:pPr>
    </w:p>
    <w:p>
      <w:pPr>
        <w:pStyle w:val="5"/>
        <w:spacing w:before="0" w:beforeAutospacing="0" w:after="0" w:afterAutospacing="0" w:line="276" w:lineRule="auto"/>
        <w:jc w:val="center"/>
        <w:rPr>
          <w:iCs/>
          <w:sz w:val="28"/>
          <w:szCs w:val="28"/>
          <w:shd w:val="clear" w:color="auto" w:fill="FFFFFF"/>
          <w:lang w:val="uk-UA"/>
        </w:rPr>
      </w:pPr>
      <w:r>
        <w:rPr>
          <w:iCs/>
          <w:sz w:val="28"/>
          <w:szCs w:val="28"/>
          <w:shd w:val="clear" w:color="auto" w:fill="FFFFFF"/>
          <w:lang w:val="uk-UA"/>
        </w:rPr>
        <w:t>Критерії, правила і процедури оцінювання</w:t>
      </w:r>
    </w:p>
    <w:p>
      <w:pPr>
        <w:pStyle w:val="5"/>
        <w:spacing w:before="0" w:beforeAutospacing="0" w:after="0" w:afterAutospacing="0" w:line="276" w:lineRule="auto"/>
        <w:jc w:val="center"/>
        <w:rPr>
          <w:iCs/>
          <w:sz w:val="28"/>
          <w:szCs w:val="28"/>
          <w:shd w:val="clear" w:color="auto" w:fill="FFFFFF"/>
          <w:lang w:val="uk-UA"/>
        </w:rPr>
      </w:pPr>
      <w:r>
        <w:rPr>
          <w:iCs/>
          <w:sz w:val="28"/>
          <w:szCs w:val="28"/>
          <w:shd w:val="clear" w:color="auto" w:fill="FFFFFF"/>
          <w:lang w:val="uk-UA"/>
        </w:rPr>
        <w:t>управлінської діяльності керівників</w:t>
      </w:r>
    </w:p>
    <w:p>
      <w:pPr>
        <w:pStyle w:val="4"/>
        <w:spacing w:before="0"/>
        <w:jc w:val="both"/>
        <w:rPr>
          <w:rFonts w:ascii="Times New Roman" w:hAnsi="Times New Roman" w:cs="Times New Roman"/>
          <w:b w:val="0"/>
          <w:iCs/>
          <w:color w:val="auto"/>
          <w:sz w:val="28"/>
          <w:szCs w:val="28"/>
          <w:shd w:val="clear" w:color="auto" w:fill="FFFFFF"/>
        </w:rPr>
      </w:pPr>
      <w:r>
        <w:rPr>
          <w:rFonts w:ascii="Times New Roman" w:hAnsi="Times New Roman" w:cs="Times New Roman"/>
          <w:b w:val="0"/>
          <w:iCs/>
          <w:color w:val="auto"/>
          <w:sz w:val="28"/>
          <w:szCs w:val="28"/>
          <w:shd w:val="clear" w:color="auto" w:fill="FFFFFF"/>
          <w:lang w:val="uk-UA"/>
        </w:rPr>
        <w:t xml:space="preserve">Формою контролю за діяльністю керівників закладу освіти є атестація. </w:t>
      </w:r>
      <w:r>
        <w:rPr>
          <w:rFonts w:ascii="Times New Roman" w:hAnsi="Times New Roman" w:cs="Times New Roman"/>
          <w:b w:val="0"/>
          <w:iCs/>
          <w:color w:val="auto"/>
          <w:sz w:val="28"/>
          <w:szCs w:val="28"/>
          <w:shd w:val="clear" w:color="auto" w:fill="FFFFFF"/>
        </w:rPr>
        <w:t>Ефективність управлінської діяльності керівника під час атестації визначається за критеріями:</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саморозвиток та самовдосконалення керівника у сфері управлінської діяльності;</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стратегічне планування базується на положеннях концепції розвитку закладу освіти, висновках аналізу та самоаналізу результатів діяльності;</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річне планування формується на стратегічних засадах розвитку закладу;</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здійснення аналізу і оцінки ефективності реалізації планів, проектів;</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забезпечення професійного розвитку вчителів, методичного супроводу молодих спеціалістів;</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поширення позитивної інформації про заклад;</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створення повноцінних умов функціонування закладу (безпечні та гігієнічні);</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застосування ІКТ-технологій у освітньому процесі;</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забезпечення якості освіти через взаємодію всіх учасників освітнього процесу;</w:t>
      </w:r>
    </w:p>
    <w:p>
      <w:pPr>
        <w:pStyle w:val="4"/>
        <w:keepNext w:val="0"/>
        <w:keepLines w:val="0"/>
        <w:numPr>
          <w:ilvl w:val="0"/>
          <w:numId w:val="10"/>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позитивна оцінка компетентності керівника з боку працівників.</w:t>
      </w:r>
    </w:p>
    <w:p>
      <w:pPr>
        <w:pStyle w:val="17"/>
        <w:spacing w:before="0" w:beforeAutospacing="0" w:after="0" w:afterAutospacing="0" w:line="276" w:lineRule="auto"/>
        <w:jc w:val="center"/>
        <w:outlineLvl w:val="3"/>
        <w:rPr>
          <w:b/>
          <w:bCs/>
          <w:iCs/>
          <w:sz w:val="28"/>
          <w:szCs w:val="28"/>
          <w:shd w:val="clear" w:color="auto" w:fill="FFFFFF"/>
        </w:rPr>
      </w:pPr>
      <w:r>
        <w:rPr>
          <w:b/>
          <w:bCs/>
          <w:iCs/>
          <w:sz w:val="28"/>
          <w:szCs w:val="28"/>
          <w:shd w:val="clear" w:color="auto" w:fill="FFFFFF"/>
        </w:rPr>
        <w:t>Ділові та особистісні якості керівників визначаються за критеріями:</w:t>
      </w:r>
    </w:p>
    <w:p>
      <w:pPr>
        <w:pStyle w:val="4"/>
        <w:keepNext w:val="0"/>
        <w:keepLines w:val="0"/>
        <w:numPr>
          <w:ilvl w:val="0"/>
          <w:numId w:val="11"/>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цілеспрямованість та саморозвиток;</w:t>
      </w:r>
    </w:p>
    <w:p>
      <w:pPr>
        <w:pStyle w:val="4"/>
        <w:keepNext w:val="0"/>
        <w:keepLines w:val="0"/>
        <w:numPr>
          <w:ilvl w:val="0"/>
          <w:numId w:val="11"/>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компетентність;</w:t>
      </w:r>
    </w:p>
    <w:p>
      <w:pPr>
        <w:pStyle w:val="4"/>
        <w:keepNext w:val="0"/>
        <w:keepLines w:val="0"/>
        <w:numPr>
          <w:ilvl w:val="0"/>
          <w:numId w:val="11"/>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динамічність та самокритичність;</w:t>
      </w:r>
    </w:p>
    <w:p>
      <w:pPr>
        <w:pStyle w:val="4"/>
        <w:keepNext w:val="0"/>
        <w:keepLines w:val="0"/>
        <w:numPr>
          <w:ilvl w:val="0"/>
          <w:numId w:val="11"/>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управлінська етика;</w:t>
      </w:r>
    </w:p>
    <w:p>
      <w:pPr>
        <w:pStyle w:val="4"/>
        <w:keepNext w:val="0"/>
        <w:keepLines w:val="0"/>
        <w:numPr>
          <w:ilvl w:val="0"/>
          <w:numId w:val="11"/>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прогностичність та аналітичність;</w:t>
      </w:r>
    </w:p>
    <w:p>
      <w:pPr>
        <w:pStyle w:val="4"/>
        <w:keepNext w:val="0"/>
        <w:keepLines w:val="0"/>
        <w:numPr>
          <w:ilvl w:val="0"/>
          <w:numId w:val="11"/>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креативність, здатність до інноваційного пошуку;</w:t>
      </w:r>
    </w:p>
    <w:p>
      <w:pPr>
        <w:pStyle w:val="4"/>
        <w:keepNext w:val="0"/>
        <w:keepLines w:val="0"/>
        <w:numPr>
          <w:ilvl w:val="0"/>
          <w:numId w:val="11"/>
        </w:numPr>
        <w:spacing w:before="0"/>
        <w:ind w:left="0"/>
        <w:jc w:val="both"/>
        <w:textAlignment w:val="top"/>
        <w:rPr>
          <w:rFonts w:ascii="Times New Roman" w:hAnsi="Times New Roman" w:cs="Times New Roman"/>
          <w:b w:val="0"/>
          <w:iCs/>
          <w:color w:val="auto"/>
          <w:sz w:val="28"/>
          <w:szCs w:val="28"/>
          <w:shd w:val="clear" w:color="auto" w:fill="FFFFFF"/>
        </w:rPr>
      </w:pPr>
      <w:r>
        <w:rPr>
          <w:rStyle w:val="9"/>
          <w:rFonts w:ascii="Times New Roman" w:hAnsi="Times New Roman" w:cs="Times New Roman"/>
          <w:b w:val="0"/>
          <w:i w:val="0"/>
          <w:color w:val="auto"/>
          <w:sz w:val="28"/>
          <w:szCs w:val="28"/>
          <w:shd w:val="clear" w:color="auto" w:fill="FFFFFF"/>
        </w:rPr>
        <w:t>здатність приймати своєчасне рішення та брати на себе відповідальність за результат діяльності.</w:t>
      </w:r>
    </w:p>
    <w:p>
      <w:pPr>
        <w:shd w:val="clear" w:color="auto" w:fill="FFFFFF"/>
        <w:spacing w:after="0"/>
        <w:ind w:firstLine="708"/>
        <w:jc w:val="both"/>
        <w:rPr>
          <w:rFonts w:ascii="Times New Roman" w:hAnsi="Times New Roman" w:eastAsia="Times New Roman" w:cs="Times New Roman"/>
          <w:sz w:val="28"/>
          <w:szCs w:val="28"/>
          <w:lang w:eastAsia="ru-RU"/>
        </w:rPr>
      </w:pPr>
    </w:p>
    <w:p>
      <w:pPr>
        <w:spacing w:after="0"/>
        <w:jc w:val="both"/>
        <w:rPr>
          <w:rFonts w:ascii="Times New Roman" w:hAnsi="Times New Roman" w:eastAsia="Times New Roman" w:cs="Times New Roman"/>
          <w:sz w:val="28"/>
          <w:szCs w:val="28"/>
          <w:lang w:val="uk-UA" w:eastAsia="ru-RU"/>
        </w:rPr>
      </w:pPr>
    </w:p>
    <w:p>
      <w:pPr>
        <w:spacing w:after="0" w:line="432" w:lineRule="atLeast"/>
        <w:jc w:val="both"/>
        <w:rPr>
          <w:rFonts w:ascii="Times New Roman" w:hAnsi="Times New Roman" w:eastAsia="Times New Roman" w:cs="Times New Roman"/>
          <w:sz w:val="28"/>
          <w:szCs w:val="28"/>
          <w:lang w:val="uk-UA" w:eastAsia="ru-RU"/>
        </w:rPr>
      </w:pPr>
    </w:p>
    <w:p>
      <w:pPr>
        <w:spacing w:after="0" w:line="432" w:lineRule="atLeast"/>
        <w:jc w:val="center"/>
        <w:rPr>
          <w:rFonts w:ascii="Times New Roman" w:hAnsi="Times New Roman" w:eastAsia="Times New Roman" w:cs="Times New Roman"/>
          <w:b/>
          <w:i/>
          <w:sz w:val="36"/>
          <w:szCs w:val="36"/>
          <w:u w:val="single"/>
          <w:lang w:val="uk-UA" w:eastAsia="ru-RU"/>
        </w:rPr>
      </w:pPr>
      <w:r>
        <w:rPr>
          <w:rFonts w:ascii="Times New Roman" w:hAnsi="Times New Roman" w:eastAsia="Times New Roman" w:cs="Times New Roman"/>
          <w:b/>
          <w:i/>
          <w:sz w:val="36"/>
          <w:szCs w:val="36"/>
          <w:u w:val="single"/>
          <w:lang w:eastAsia="ru-RU"/>
        </w:rPr>
        <w:t>Блок ІІІ</w:t>
      </w:r>
      <w:r>
        <w:rPr>
          <w:rFonts w:ascii="Times New Roman" w:hAnsi="Times New Roman" w:eastAsia="Times New Roman" w:cs="Times New Roman"/>
          <w:b/>
          <w:i/>
          <w:sz w:val="36"/>
          <w:szCs w:val="36"/>
          <w:u w:val="single"/>
          <w:lang w:val="uk-UA" w:eastAsia="ru-RU"/>
        </w:rPr>
        <w:t>.</w:t>
      </w:r>
      <w:r>
        <w:rPr>
          <w:rFonts w:ascii="Times New Roman" w:hAnsi="Times New Roman" w:eastAsia="Times New Roman" w:cs="Times New Roman"/>
          <w:b/>
          <w:i/>
          <w:sz w:val="36"/>
          <w:szCs w:val="36"/>
          <w:u w:val="single"/>
          <w:lang w:eastAsia="ru-RU"/>
        </w:rPr>
        <w:t xml:space="preserve"> «Антибулінгова програма»</w:t>
      </w:r>
    </w:p>
    <w:p>
      <w:pPr>
        <w:spacing w:after="0" w:line="432" w:lineRule="atLeast"/>
        <w:jc w:val="center"/>
        <w:rPr>
          <w:rFonts w:ascii="Times New Roman" w:hAnsi="Times New Roman" w:eastAsia="Times New Roman" w:cs="Times New Roman"/>
          <w:b/>
          <w:i/>
          <w:sz w:val="36"/>
          <w:szCs w:val="36"/>
          <w:u w:val="single"/>
          <w:lang w:val="uk-UA" w:eastAsia="ru-RU"/>
        </w:rPr>
      </w:pPr>
    </w:p>
    <w:p>
      <w:pPr>
        <w:spacing w:after="0"/>
        <w:ind w:firstLine="708"/>
        <w:jc w:val="both"/>
        <w:rPr>
          <w:rFonts w:ascii="Times New Roman" w:hAnsi="Times New Roman" w:eastAsia="Times New Roman" w:cs="Times New Roman"/>
          <w:b/>
          <w:i/>
          <w:sz w:val="28"/>
          <w:szCs w:val="28"/>
          <w:lang w:val="uk-UA" w:eastAsia="ru-RU"/>
        </w:rPr>
      </w:pPr>
      <w:r>
        <w:rPr>
          <w:rFonts w:ascii="Times New Roman" w:hAnsi="Times New Roman" w:cs="Times New Roman"/>
          <w:sz w:val="28"/>
          <w:szCs w:val="28"/>
        </w:rPr>
        <w:t>Сьогодні, в процесі реформування системи освіти, проблеми цькування і насильства в шкільному середовищі дуже часто стають перепоною для досягнення мети всебічного розвитку дитини. Допомога дорослих дуже потрібна дітям та молоді у будь</w:t>
      </w:r>
      <w:r>
        <w:rPr>
          <w:rFonts w:ascii="Times New Roman" w:hAnsi="Times New Roman" w:cs="Times New Roman"/>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якому віці, особливо якщо дії кривдників можуть завдати серйозної шкоди фізичному та психічному здоров’ю. Заклад освіти відіграє важливу роль у створенні умов для здобуття учнями та ученицями знань в безпечному освітньому середовищі, формуванні ставлень та навичок, які потрібні, щоб уникнути та запобігти проявам насильства, безконфліктного спілкування, ненасильницької поведінки. Вирішальна роль у протидії насильству і булінгу належить педагогам. Проте впоратися з цією проблемою вони можуть тільки завдяки системному підходу та підтримки керівництва школи, батьків, представників місцевих органів влади та громадських організацій, а також із залученням та участі дітей та молоді.</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Нормативно-правові документи з питань запобігання, протидії домашньому насильству та булінгу:</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Постанова КМ України в «Про затвердження порядку взаємодії суб`єктів, що здійснюють заходи у сфері запобігання та протидії домашньому насильству та насильству за ознакою стат</w:t>
      </w:r>
      <w:r>
        <w:rPr>
          <w:rFonts w:ascii="Times New Roman" w:hAnsi="Times New Roman" w:eastAsia="Times New Roman" w:cs="Times New Roman"/>
          <w:sz w:val="28"/>
          <w:szCs w:val="28"/>
          <w:lang w:val="uk-UA" w:eastAsia="ru-RU"/>
        </w:rPr>
        <w:t>т</w:t>
      </w:r>
      <w:r>
        <w:rPr>
          <w:rFonts w:ascii="Times New Roman" w:hAnsi="Times New Roman" w:eastAsia="Times New Roman" w:cs="Times New Roman"/>
          <w:sz w:val="28"/>
          <w:szCs w:val="28"/>
          <w:lang w:eastAsia="ru-RU"/>
        </w:rPr>
        <w:t>і» від 22.08.2018. №658</w:t>
      </w:r>
      <w:r>
        <w:rPr>
          <w:rFonts w:ascii="Times New Roman" w:hAnsi="Times New Roman" w:eastAsia="Times New Roman" w:cs="Times New Roman"/>
          <w:sz w:val="28"/>
          <w:szCs w:val="28"/>
          <w:lang w:val="uk-UA" w:eastAsia="ru-RU"/>
        </w:rPr>
        <w:t>;</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Наказ МОН України від 02.10.2018 № 1047 «Про затвердження Методичних рекомендації щодо виявлення, реагування на випадки домашнього насильства і взаємодії педагогічних працівників із іншими органами та службами»;</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Лист МОН України від 18.05.2018 № 1/11-5480 «Методичні рекомендації щодо запобігання та протидії насильству»</w:t>
      </w:r>
      <w:r>
        <w:rPr>
          <w:rFonts w:ascii="Times New Roman" w:hAnsi="Times New Roman" w:eastAsia="Times New Roman" w:cs="Times New Roman"/>
          <w:sz w:val="28"/>
          <w:szCs w:val="28"/>
          <w:lang w:val="uk-UA" w:eastAsia="ru-RU"/>
        </w:rPr>
        <w:t>;</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Лист МОН України від29.12.2018 № 1/9-790 «Щодо організації роботи у закладах освіти з питань запобігання і протидії домашньому насильству та булінгу»;</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Закон України від 18.12.2019 року№ 2657-</w:t>
      </w:r>
      <w:r>
        <w:rPr>
          <w:rFonts w:ascii="Times New Roman" w:hAnsi="Times New Roman" w:eastAsia="Times New Roman" w:cs="Times New Roman"/>
          <w:sz w:val="28"/>
          <w:szCs w:val="28"/>
          <w:lang w:eastAsia="ru-RU"/>
        </w:rPr>
        <w:t>VIII</w:t>
      </w:r>
      <w:r>
        <w:rPr>
          <w:rFonts w:ascii="Times New Roman" w:hAnsi="Times New Roman" w:eastAsia="Times New Roman" w:cs="Times New Roman"/>
          <w:sz w:val="28"/>
          <w:szCs w:val="28"/>
          <w:lang w:val="uk-UA" w:eastAsia="ru-RU"/>
        </w:rPr>
        <w:t xml:space="preserve"> «Про внесення змін до деяких законодавчих актів України щодо протидії булінгу (цькуванню)»;</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Наказ Міністерства соціальної політики України, Міністерства внутрішніх справ України, Міністерства освіти і науки України, Міністерства охорони здоров`я України від 19.08.2014 №564/836/945/577 «Про затвердження Порядку розгляду звернень та повідомлень з приводу жорстокого поводження з дітьми або реальної загрози його вчинення»;</w:t>
      </w:r>
    </w:p>
    <w:p>
      <w:pPr>
        <w:spacing w:after="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Лист Міністерства освіти і науки України від 28.10.2014 № 1/9-557 «Методичні рекомендації щодо взаємодії педагогічних працівників у навчальних закладах та взаємодії з іншими органами і службами щодо захисту прав дітей»;</w:t>
      </w:r>
    </w:p>
    <w:p>
      <w:pPr>
        <w:spacing w:after="0"/>
        <w:ind w:firstLine="70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Розроблення антибулінгової програми</w:t>
      </w:r>
      <w:r>
        <w:rPr>
          <w:rFonts w:hint="default" w:ascii="Times New Roman" w:hAnsi="Times New Roman" w:eastAsia="Times New Roman" w:cs="Times New Roman"/>
          <w:sz w:val="28"/>
          <w:szCs w:val="28"/>
          <w:lang w:val="uk-UA" w:eastAsia="ru-RU"/>
        </w:rPr>
        <w:t>, плану</w:t>
      </w:r>
      <w:r>
        <w:rPr>
          <w:rFonts w:ascii="Times New Roman" w:hAnsi="Times New Roman" w:eastAsia="Times New Roman" w:cs="Times New Roman"/>
          <w:sz w:val="28"/>
          <w:szCs w:val="28"/>
          <w:lang w:eastAsia="ru-RU"/>
        </w:rPr>
        <w:t xml:space="preserve"> стало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вимогою сьогодення, тому що нині тема агресії та насильства в суспільстві відчутна особливо гостро, і часто майданчиком для прояву жорстокості по відношенню один до одного є саме школа. Діти є найчутливішою групою, яка дуже добре відображає зміни, що відбуваються в сучасному соціумі. Коли «раптом» виявляється, що нове покоління, менш людяне й більш жорстоке, то ми, дорослі, мусимо чесно відповісти собі на запитання — що ми повинні були б, могли б і досі не зробили, щоб діти не ставали такими? Оскільки школа має вагомий вплив на дитину впродовж 12 років, а також те, що значна частина психічних дефіцитів виникає саме в стінах школи, сподіваємося, дана програма стане основним орієнтиром проведення вагомої результативної профілактичної роботи з теми булінгу в освітньому середовищі.</w:t>
      </w: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sz w:val="28"/>
          <w:szCs w:val="28"/>
          <w:lang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pStyle w:val="40"/>
        <w:spacing w:before="90"/>
        <w:ind w:left="0" w:right="1086"/>
        <w:jc w:val="center"/>
        <w:rPr>
          <w:sz w:val="28"/>
          <w:szCs w:val="28"/>
        </w:rPr>
      </w:pPr>
      <w:r>
        <w:rPr>
          <w:sz w:val="28"/>
          <w:szCs w:val="28"/>
        </w:rPr>
        <w:t>План заходів спрямованих на запобігання та протидію булінгу(цькуванню) в Глибочецькій ЗОШ І-ІІІст.</w:t>
      </w:r>
    </w:p>
    <w:tbl>
      <w:tblPr>
        <w:tblStyle w:val="41"/>
        <w:tblpPr w:leftFromText="180" w:rightFromText="180" w:vertAnchor="text" w:horzAnchor="page" w:tblpX="632" w:tblpY="930"/>
        <w:tblOverlap w:val="never"/>
        <w:tblW w:w="1005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96"/>
        <w:gridCol w:w="2553"/>
        <w:gridCol w:w="2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trPr>
        <w:tc>
          <w:tcPr>
            <w:tcW w:w="4796" w:type="dxa"/>
            <w:shd w:val="clear" w:color="auto" w:fill="FFFFFF" w:themeFill="background1"/>
          </w:tcPr>
          <w:p>
            <w:pPr>
              <w:pStyle w:val="25"/>
              <w:spacing w:line="276" w:lineRule="auto"/>
              <w:ind w:left="1756" w:right="1746"/>
              <w:jc w:val="center"/>
              <w:rPr>
                <w:b/>
                <w:sz w:val="28"/>
                <w:szCs w:val="28"/>
              </w:rPr>
            </w:pPr>
            <w:r>
              <w:rPr>
                <w:b/>
                <w:sz w:val="28"/>
                <w:szCs w:val="28"/>
              </w:rPr>
              <w:t>Дії (ризики)</w:t>
            </w:r>
          </w:p>
        </w:tc>
        <w:tc>
          <w:tcPr>
            <w:tcW w:w="2553" w:type="dxa"/>
            <w:shd w:val="clear" w:color="auto" w:fill="FFFFFF" w:themeFill="background1"/>
          </w:tcPr>
          <w:p>
            <w:pPr>
              <w:pStyle w:val="25"/>
              <w:spacing w:line="276" w:lineRule="auto"/>
              <w:ind w:left="0" w:leftChars="0" w:firstLine="0" w:firstLineChars="0"/>
              <w:rPr>
                <w:b/>
                <w:sz w:val="28"/>
                <w:szCs w:val="28"/>
              </w:rPr>
            </w:pPr>
            <w:r>
              <w:rPr>
                <w:b/>
                <w:sz w:val="28"/>
                <w:szCs w:val="28"/>
              </w:rPr>
              <w:t>Відповідальні</w:t>
            </w:r>
          </w:p>
        </w:tc>
        <w:tc>
          <w:tcPr>
            <w:tcW w:w="2701" w:type="dxa"/>
            <w:shd w:val="clear" w:color="auto" w:fill="FFFFFF" w:themeFill="background1"/>
          </w:tcPr>
          <w:p>
            <w:pPr>
              <w:pStyle w:val="25"/>
              <w:spacing w:line="276" w:lineRule="auto"/>
              <w:ind w:left="0"/>
              <w:jc w:val="center"/>
              <w:rPr>
                <w:b/>
                <w:sz w:val="28"/>
                <w:szCs w:val="28"/>
              </w:rPr>
            </w:pPr>
            <w:r>
              <w:rPr>
                <w:b/>
                <w:sz w:val="28"/>
                <w:szCs w:val="28"/>
              </w:rPr>
              <w:t>Інформація про виконання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96" w:type="dxa"/>
            <w:shd w:val="clear" w:color="auto" w:fill="FFFFFF" w:themeFill="background1"/>
          </w:tcPr>
          <w:p>
            <w:pPr>
              <w:pStyle w:val="25"/>
              <w:spacing w:line="276" w:lineRule="auto"/>
              <w:ind w:left="0"/>
              <w:jc w:val="both"/>
              <w:rPr>
                <w:sz w:val="28"/>
                <w:szCs w:val="28"/>
              </w:rPr>
            </w:pPr>
            <w:r>
              <w:rPr>
                <w:sz w:val="28"/>
                <w:szCs w:val="28"/>
              </w:rPr>
              <w:t>1.Вивчення психічних станів особистості</w:t>
            </w:r>
          </w:p>
          <w:p>
            <w:pPr>
              <w:pStyle w:val="25"/>
              <w:spacing w:line="276" w:lineRule="auto"/>
              <w:ind w:left="0"/>
              <w:jc w:val="both"/>
              <w:rPr>
                <w:sz w:val="28"/>
                <w:szCs w:val="28"/>
              </w:rPr>
            </w:pPr>
            <w:r>
              <w:rPr>
                <w:sz w:val="28"/>
                <w:szCs w:val="28"/>
              </w:rPr>
              <w:t>здобувачів освіти (за Айзенком)</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424"/>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96" w:type="dxa"/>
            <w:shd w:val="clear" w:color="auto" w:fill="FFFFFF" w:themeFill="background1"/>
          </w:tcPr>
          <w:p>
            <w:pPr>
              <w:pStyle w:val="25"/>
              <w:spacing w:line="276" w:lineRule="auto"/>
              <w:ind w:left="0"/>
              <w:jc w:val="both"/>
              <w:rPr>
                <w:sz w:val="28"/>
                <w:szCs w:val="28"/>
              </w:rPr>
            </w:pPr>
            <w:r>
              <w:rPr>
                <w:sz w:val="28"/>
                <w:szCs w:val="28"/>
              </w:rPr>
              <w:t>2.Вивчення типу темпераменту здобувачів освіти</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tabs>
                <w:tab w:val="left" w:pos="661"/>
                <w:tab w:val="left" w:pos="2066"/>
                <w:tab w:val="left" w:pos="3534"/>
              </w:tabs>
              <w:spacing w:line="276" w:lineRule="auto"/>
              <w:ind w:left="0"/>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8" w:hRule="atLeast"/>
        </w:trPr>
        <w:tc>
          <w:tcPr>
            <w:tcW w:w="4796" w:type="dxa"/>
            <w:shd w:val="clear" w:color="auto" w:fill="FFFFFF" w:themeFill="background1"/>
          </w:tcPr>
          <w:p>
            <w:pPr>
              <w:pStyle w:val="25"/>
              <w:spacing w:line="276" w:lineRule="auto"/>
              <w:ind w:left="0"/>
              <w:jc w:val="both"/>
              <w:rPr>
                <w:sz w:val="28"/>
                <w:szCs w:val="28"/>
              </w:rPr>
            </w:pPr>
            <w:r>
              <w:rPr>
                <w:sz w:val="28"/>
                <w:szCs w:val="28"/>
              </w:rPr>
              <w:t>3.Вивчення міжособистісних стосунків учнів у класах за методикою «Соціометрія»</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tabs>
                <w:tab w:val="left" w:pos="661"/>
                <w:tab w:val="left" w:pos="2066"/>
                <w:tab w:val="left" w:pos="3534"/>
              </w:tabs>
              <w:spacing w:line="276" w:lineRule="auto"/>
              <w:ind w:left="424" w:right="99" w:hanging="281"/>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4" w:hRule="atLeast"/>
        </w:trPr>
        <w:tc>
          <w:tcPr>
            <w:tcW w:w="4796" w:type="dxa"/>
            <w:shd w:val="clear" w:color="auto" w:fill="FFFFFF" w:themeFill="background1"/>
          </w:tcPr>
          <w:p>
            <w:pPr>
              <w:pStyle w:val="25"/>
              <w:spacing w:line="276" w:lineRule="auto"/>
              <w:ind w:left="0"/>
              <w:jc w:val="both"/>
              <w:rPr>
                <w:sz w:val="28"/>
                <w:szCs w:val="28"/>
              </w:rPr>
            </w:pPr>
            <w:r>
              <w:rPr>
                <w:sz w:val="28"/>
                <w:szCs w:val="28"/>
              </w:rPr>
              <w:t>5.Проведення анкетування на</w:t>
            </w:r>
            <w:r>
              <w:rPr>
                <w:spacing w:val="56"/>
                <w:sz w:val="28"/>
                <w:szCs w:val="28"/>
              </w:rPr>
              <w:t xml:space="preserve"> </w:t>
            </w:r>
            <w:r>
              <w:rPr>
                <w:sz w:val="28"/>
                <w:szCs w:val="28"/>
              </w:rPr>
              <w:t>визначення</w:t>
            </w:r>
          </w:p>
          <w:p>
            <w:pPr>
              <w:pStyle w:val="25"/>
              <w:spacing w:line="276" w:lineRule="auto"/>
              <w:jc w:val="both"/>
              <w:rPr>
                <w:sz w:val="28"/>
                <w:szCs w:val="28"/>
              </w:rPr>
            </w:pPr>
            <w:r>
              <w:rPr>
                <w:sz w:val="28"/>
                <w:szCs w:val="28"/>
              </w:rPr>
              <w:t>рівня толерантності</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424"/>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4796" w:type="dxa"/>
            <w:shd w:val="clear" w:color="auto" w:fill="FFFFFF" w:themeFill="background1"/>
          </w:tcPr>
          <w:p>
            <w:pPr>
              <w:pStyle w:val="25"/>
              <w:spacing w:line="276" w:lineRule="auto"/>
              <w:ind w:left="0"/>
              <w:jc w:val="both"/>
              <w:rPr>
                <w:sz w:val="28"/>
                <w:szCs w:val="28"/>
              </w:rPr>
            </w:pPr>
            <w:r>
              <w:rPr>
                <w:sz w:val="28"/>
                <w:szCs w:val="28"/>
              </w:rPr>
              <w:t>6.Проведення анкетування на</w:t>
            </w:r>
            <w:r>
              <w:rPr>
                <w:spacing w:val="53"/>
                <w:sz w:val="28"/>
                <w:szCs w:val="28"/>
              </w:rPr>
              <w:t xml:space="preserve"> </w:t>
            </w:r>
            <w:r>
              <w:rPr>
                <w:sz w:val="28"/>
                <w:szCs w:val="28"/>
              </w:rPr>
              <w:t>визначення</w:t>
            </w:r>
          </w:p>
          <w:p>
            <w:pPr>
              <w:pStyle w:val="25"/>
              <w:spacing w:line="276" w:lineRule="auto"/>
              <w:jc w:val="both"/>
              <w:rPr>
                <w:sz w:val="28"/>
                <w:szCs w:val="28"/>
              </w:rPr>
            </w:pPr>
            <w:r>
              <w:rPr>
                <w:sz w:val="28"/>
                <w:szCs w:val="28"/>
              </w:rPr>
              <w:t>комунікативної компетентності</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424"/>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96" w:type="dxa"/>
            <w:shd w:val="clear" w:color="auto" w:fill="FFFFFF" w:themeFill="background1"/>
          </w:tcPr>
          <w:p>
            <w:pPr>
              <w:pStyle w:val="25"/>
              <w:spacing w:line="276" w:lineRule="auto"/>
              <w:ind w:left="0"/>
              <w:jc w:val="both"/>
              <w:rPr>
                <w:sz w:val="28"/>
                <w:szCs w:val="28"/>
              </w:rPr>
            </w:pPr>
            <w:r>
              <w:rPr>
                <w:sz w:val="28"/>
                <w:szCs w:val="28"/>
              </w:rPr>
              <w:t>7.Методика Киричука «Діагностика вад</w:t>
            </w:r>
          </w:p>
          <w:p>
            <w:pPr>
              <w:pStyle w:val="25"/>
              <w:spacing w:line="276" w:lineRule="auto"/>
              <w:jc w:val="both"/>
              <w:rPr>
                <w:sz w:val="28"/>
                <w:szCs w:val="28"/>
              </w:rPr>
            </w:pPr>
            <w:r>
              <w:rPr>
                <w:sz w:val="28"/>
                <w:szCs w:val="28"/>
              </w:rPr>
              <w:t>особистісного розвитку» (ДВОР)</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424"/>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4796" w:type="dxa"/>
            <w:shd w:val="clear" w:color="auto" w:fill="FFFFFF" w:themeFill="background1"/>
          </w:tcPr>
          <w:p>
            <w:pPr>
              <w:pStyle w:val="25"/>
              <w:spacing w:line="276" w:lineRule="auto"/>
              <w:ind w:left="0" w:right="127"/>
              <w:jc w:val="both"/>
              <w:rPr>
                <w:sz w:val="28"/>
                <w:szCs w:val="28"/>
              </w:rPr>
            </w:pPr>
            <w:r>
              <w:rPr>
                <w:sz w:val="28"/>
                <w:szCs w:val="28"/>
              </w:rPr>
              <w:t>8.Індивідуальне та групове консультування учнів, щодо полегшення процесу адаптації, профілактики страхів, тривожності та агресії</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tabs>
                <w:tab w:val="left" w:pos="661"/>
                <w:tab w:val="left" w:pos="2066"/>
                <w:tab w:val="left" w:pos="3534"/>
              </w:tabs>
              <w:spacing w:line="276" w:lineRule="auto"/>
              <w:ind w:left="424" w:right="99" w:hanging="281"/>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4796" w:type="dxa"/>
            <w:shd w:val="clear" w:color="auto" w:fill="FFFFFF" w:themeFill="background1"/>
          </w:tcPr>
          <w:p>
            <w:pPr>
              <w:pStyle w:val="25"/>
              <w:tabs>
                <w:tab w:val="left" w:pos="1789"/>
                <w:tab w:val="left" w:pos="3264"/>
              </w:tabs>
              <w:spacing w:line="276" w:lineRule="auto"/>
              <w:ind w:left="0" w:right="98"/>
              <w:jc w:val="both"/>
              <w:rPr>
                <w:sz w:val="28"/>
                <w:szCs w:val="28"/>
              </w:rPr>
            </w:pPr>
            <w:r>
              <w:rPr>
                <w:sz w:val="28"/>
                <w:szCs w:val="28"/>
              </w:rPr>
              <w:t xml:space="preserve">9..Консультування класних керівників стосовно </w:t>
            </w:r>
            <w:r>
              <w:rPr>
                <w:spacing w:val="-1"/>
                <w:sz w:val="28"/>
                <w:szCs w:val="28"/>
              </w:rPr>
              <w:t>профілактики</w:t>
            </w:r>
            <w:r>
              <w:rPr>
                <w:sz w:val="28"/>
                <w:szCs w:val="28"/>
              </w:rPr>
              <w:t xml:space="preserve"> насилля в  учнівських колективах.</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tabs>
                <w:tab w:val="left" w:pos="742"/>
                <w:tab w:val="left" w:pos="2107"/>
                <w:tab w:val="left" w:pos="3537"/>
              </w:tabs>
              <w:spacing w:line="276" w:lineRule="auto"/>
              <w:ind w:left="424" w:right="96" w:hanging="281"/>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1" w:hRule="atLeast"/>
        </w:trPr>
        <w:tc>
          <w:tcPr>
            <w:tcW w:w="4796" w:type="dxa"/>
            <w:shd w:val="clear" w:color="auto" w:fill="FFFFFF" w:themeFill="background1"/>
          </w:tcPr>
          <w:p>
            <w:pPr>
              <w:pStyle w:val="25"/>
              <w:spacing w:line="276" w:lineRule="auto"/>
              <w:ind w:left="0" w:right="312"/>
              <w:jc w:val="both"/>
              <w:rPr>
                <w:sz w:val="28"/>
                <w:szCs w:val="28"/>
              </w:rPr>
            </w:pPr>
            <w:r>
              <w:rPr>
                <w:sz w:val="28"/>
                <w:szCs w:val="28"/>
              </w:rPr>
              <w:t>10.Індивідуальне та групове консультування здобувачів освіти з питань профілактики домашнього насильства та жорстокого поводження з дітьми</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tabs>
                <w:tab w:val="left" w:pos="742"/>
                <w:tab w:val="left" w:pos="2107"/>
                <w:tab w:val="left" w:pos="3537"/>
              </w:tabs>
              <w:spacing w:line="276" w:lineRule="auto"/>
              <w:ind w:left="424" w:right="99" w:hanging="281"/>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 w:hRule="atLeast"/>
        </w:trPr>
        <w:tc>
          <w:tcPr>
            <w:tcW w:w="4796" w:type="dxa"/>
            <w:shd w:val="clear" w:color="auto" w:fill="FFFFFF" w:themeFill="background1"/>
          </w:tcPr>
          <w:p>
            <w:pPr>
              <w:pStyle w:val="25"/>
              <w:tabs>
                <w:tab w:val="left" w:pos="717"/>
                <w:tab w:val="left" w:pos="1813"/>
                <w:tab w:val="left" w:pos="2218"/>
                <w:tab w:val="left" w:pos="3734"/>
              </w:tabs>
              <w:spacing w:line="276" w:lineRule="auto"/>
              <w:ind w:left="0"/>
              <w:jc w:val="both"/>
              <w:rPr>
                <w:sz w:val="28"/>
                <w:szCs w:val="28"/>
              </w:rPr>
            </w:pPr>
            <w:r>
              <w:rPr>
                <w:sz w:val="28"/>
                <w:szCs w:val="28"/>
              </w:rPr>
              <w:t>11.Заняття з елементами тренінгу: «Попередження насильства та булінгу у дитячому середовищі»</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right="1929"/>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8" w:hRule="atLeast"/>
        </w:trPr>
        <w:tc>
          <w:tcPr>
            <w:tcW w:w="4796" w:type="dxa"/>
            <w:shd w:val="clear" w:color="auto" w:fill="FFFFFF" w:themeFill="background1"/>
          </w:tcPr>
          <w:p>
            <w:pPr>
              <w:pStyle w:val="25"/>
              <w:spacing w:line="276" w:lineRule="auto"/>
              <w:ind w:left="0"/>
              <w:jc w:val="both"/>
              <w:rPr>
                <w:sz w:val="28"/>
                <w:szCs w:val="28"/>
              </w:rPr>
            </w:pPr>
            <w:r>
              <w:rPr>
                <w:sz w:val="28"/>
                <w:szCs w:val="28"/>
              </w:rPr>
              <w:t>12.Проведення тренінгових занять з метою допомоги в адаптації 1 та 5 класників за темами: «Спілкуємось й діємо»</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796" w:type="dxa"/>
            <w:shd w:val="clear" w:color="auto" w:fill="FFFFFF" w:themeFill="background1"/>
          </w:tcPr>
          <w:p>
            <w:pPr>
              <w:pStyle w:val="25"/>
              <w:spacing w:line="276" w:lineRule="auto"/>
              <w:ind w:left="0"/>
              <w:jc w:val="both"/>
              <w:rPr>
                <w:sz w:val="28"/>
                <w:szCs w:val="28"/>
              </w:rPr>
            </w:pPr>
            <w:r>
              <w:rPr>
                <w:sz w:val="28"/>
                <w:szCs w:val="28"/>
              </w:rPr>
              <w:t>13.Проведення виховних годин за темами: «Будь толерантним».</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1" w:hRule="atLeast"/>
        </w:trPr>
        <w:tc>
          <w:tcPr>
            <w:tcW w:w="4796" w:type="dxa"/>
            <w:shd w:val="clear" w:color="auto" w:fill="FFFFFF" w:themeFill="background1"/>
          </w:tcPr>
          <w:p>
            <w:pPr>
              <w:pStyle w:val="25"/>
              <w:spacing w:line="276" w:lineRule="auto"/>
              <w:ind w:left="0"/>
              <w:jc w:val="both"/>
              <w:rPr>
                <w:sz w:val="28"/>
                <w:szCs w:val="28"/>
              </w:rPr>
            </w:pPr>
            <w:r>
              <w:rPr>
                <w:sz w:val="28"/>
                <w:szCs w:val="28"/>
              </w:rPr>
              <w:t>14.Превентина робота на правову тематику: «Знаємо та реалізуємо свої права».</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796" w:type="dxa"/>
            <w:shd w:val="clear" w:color="auto" w:fill="FFFFFF" w:themeFill="background1"/>
          </w:tcPr>
          <w:p>
            <w:pPr>
              <w:pStyle w:val="25"/>
              <w:spacing w:line="276" w:lineRule="auto"/>
              <w:ind w:left="0" w:right="93"/>
              <w:jc w:val="both"/>
              <w:rPr>
                <w:sz w:val="28"/>
                <w:szCs w:val="28"/>
              </w:rPr>
            </w:pPr>
            <w:r>
              <w:rPr>
                <w:sz w:val="28"/>
                <w:szCs w:val="28"/>
                <w:lang w:val="ru-RU"/>
              </w:rPr>
              <w:t>15</w:t>
            </w:r>
            <w:r>
              <w:rPr>
                <w:sz w:val="28"/>
                <w:szCs w:val="28"/>
              </w:rPr>
              <w:t>.Проведення просвітницьких заходів і відеолекторію</w:t>
            </w:r>
            <w:r>
              <w:rPr>
                <w:i/>
                <w:sz w:val="28"/>
                <w:szCs w:val="28"/>
              </w:rPr>
              <w:t xml:space="preserve"> </w:t>
            </w:r>
            <w:r>
              <w:rPr>
                <w:sz w:val="28"/>
                <w:szCs w:val="28"/>
              </w:rPr>
              <w:t>в межах питання протидії торгівлі людьми за темами: «Особиста гідність»,</w:t>
            </w:r>
            <w:r>
              <w:rPr>
                <w:spacing w:val="-17"/>
                <w:sz w:val="28"/>
                <w:szCs w:val="28"/>
              </w:rPr>
              <w:t xml:space="preserve"> </w:t>
            </w:r>
            <w:r>
              <w:rPr>
                <w:sz w:val="28"/>
                <w:szCs w:val="28"/>
              </w:rPr>
              <w:t>«Безпека життя», «Громадська позиція»</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1" w:hRule="atLeast"/>
        </w:trPr>
        <w:tc>
          <w:tcPr>
            <w:tcW w:w="4796" w:type="dxa"/>
            <w:shd w:val="clear" w:color="auto" w:fill="FFFFFF" w:themeFill="background1"/>
          </w:tcPr>
          <w:p>
            <w:pPr>
              <w:pStyle w:val="25"/>
              <w:tabs>
                <w:tab w:val="left" w:pos="1096"/>
                <w:tab w:val="left" w:pos="2205"/>
                <w:tab w:val="left" w:pos="3013"/>
                <w:tab w:val="left" w:pos="3062"/>
                <w:tab w:val="left" w:pos="3491"/>
              </w:tabs>
              <w:spacing w:line="276" w:lineRule="auto"/>
              <w:ind w:left="0" w:right="97"/>
              <w:jc w:val="both"/>
              <w:rPr>
                <w:sz w:val="28"/>
                <w:szCs w:val="28"/>
              </w:rPr>
            </w:pPr>
            <w:r>
              <w:rPr>
                <w:sz w:val="28"/>
                <w:szCs w:val="28"/>
              </w:rPr>
              <w:t xml:space="preserve">16.Проведення </w:t>
            </w:r>
            <w:r>
              <w:rPr>
                <w:spacing w:val="-1"/>
                <w:sz w:val="28"/>
                <w:szCs w:val="28"/>
              </w:rPr>
              <w:t xml:space="preserve">профілактичного  </w:t>
            </w:r>
            <w:r>
              <w:rPr>
                <w:sz w:val="28"/>
                <w:szCs w:val="28"/>
              </w:rPr>
              <w:t>просвітницького тижня</w:t>
            </w:r>
            <w:r>
              <w:rPr>
                <w:i/>
                <w:sz w:val="28"/>
                <w:szCs w:val="28"/>
              </w:rPr>
              <w:t xml:space="preserve"> </w:t>
            </w:r>
            <w:r>
              <w:rPr>
                <w:sz w:val="28"/>
                <w:szCs w:val="28"/>
              </w:rPr>
              <w:t xml:space="preserve">з </w:t>
            </w:r>
            <w:r>
              <w:rPr>
                <w:spacing w:val="-3"/>
                <w:sz w:val="28"/>
                <w:szCs w:val="28"/>
              </w:rPr>
              <w:t>пропаганди</w:t>
            </w:r>
            <w:r>
              <w:rPr>
                <w:sz w:val="28"/>
                <w:szCs w:val="28"/>
              </w:rPr>
              <w:t xml:space="preserve"> здорового способу життя</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jc w:val="center"/>
              <w:rPr>
                <w:sz w:val="28"/>
                <w:szCs w:val="28"/>
              </w:rPr>
            </w:pPr>
          </w:p>
        </w:tc>
        <w:tc>
          <w:tcPr>
            <w:tcW w:w="2701" w:type="dxa"/>
          </w:tcPr>
          <w:p>
            <w:pPr>
              <w:pStyle w:val="25"/>
              <w:tabs>
                <w:tab w:val="left" w:pos="661"/>
                <w:tab w:val="left" w:pos="2066"/>
                <w:tab w:val="left" w:pos="3534"/>
              </w:tabs>
              <w:spacing w:line="276" w:lineRule="auto"/>
              <w:ind w:left="0"/>
              <w:jc w:val="both"/>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796" w:type="dxa"/>
            <w:shd w:val="clear" w:color="auto" w:fill="FFFFFF" w:themeFill="background1"/>
          </w:tcPr>
          <w:p>
            <w:pPr>
              <w:pStyle w:val="25"/>
              <w:spacing w:line="276" w:lineRule="auto"/>
              <w:ind w:left="0"/>
              <w:rPr>
                <w:sz w:val="28"/>
                <w:szCs w:val="28"/>
              </w:rPr>
            </w:pPr>
            <w:r>
              <w:rPr>
                <w:sz w:val="28"/>
                <w:szCs w:val="28"/>
              </w:rPr>
              <w:t>17.Проведення семінару-тренінгу на тему:</w:t>
            </w:r>
          </w:p>
          <w:p>
            <w:pPr>
              <w:pStyle w:val="25"/>
              <w:spacing w:line="276" w:lineRule="auto"/>
              <w:ind w:left="0" w:right="152"/>
              <w:rPr>
                <w:sz w:val="28"/>
                <w:szCs w:val="28"/>
              </w:rPr>
            </w:pPr>
            <w:r>
              <w:rPr>
                <w:sz w:val="28"/>
                <w:szCs w:val="28"/>
              </w:rPr>
              <w:t xml:space="preserve">«Первинна соціальна профілактика торгівлі людьми» </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right="1996"/>
              <w:jc w:val="center"/>
              <w:rPr>
                <w:sz w:val="28"/>
                <w:szCs w:val="28"/>
              </w:rPr>
            </w:pPr>
          </w:p>
        </w:tc>
        <w:tc>
          <w:tcPr>
            <w:tcW w:w="2701" w:type="dxa"/>
          </w:tcPr>
          <w:p>
            <w:pPr>
              <w:pStyle w:val="25"/>
              <w:tabs>
                <w:tab w:val="left" w:pos="661"/>
                <w:tab w:val="left" w:pos="2066"/>
                <w:tab w:val="left" w:pos="3534"/>
              </w:tabs>
              <w:spacing w:line="276" w:lineRule="auto"/>
              <w:ind w:left="0"/>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1" w:hRule="atLeast"/>
        </w:trPr>
        <w:tc>
          <w:tcPr>
            <w:tcW w:w="4796" w:type="dxa"/>
            <w:shd w:val="clear" w:color="auto" w:fill="FFFFFF" w:themeFill="background1"/>
          </w:tcPr>
          <w:p>
            <w:pPr>
              <w:pStyle w:val="25"/>
              <w:spacing w:line="276" w:lineRule="auto"/>
              <w:ind w:left="0"/>
              <w:rPr>
                <w:sz w:val="28"/>
                <w:szCs w:val="28"/>
              </w:rPr>
            </w:pPr>
            <w:r>
              <w:rPr>
                <w:sz w:val="28"/>
                <w:szCs w:val="28"/>
              </w:rPr>
              <w:t>18. Проведення тижня- Профілактика насилля, булінгу в учнівському колективі (план додається)</w:t>
            </w:r>
          </w:p>
        </w:tc>
        <w:tc>
          <w:tcPr>
            <w:tcW w:w="2553" w:type="dxa"/>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tabs>
                <w:tab w:val="left" w:pos="661"/>
                <w:tab w:val="left" w:pos="2066"/>
                <w:tab w:val="left" w:pos="3534"/>
              </w:tabs>
              <w:spacing w:line="276" w:lineRule="auto"/>
              <w:ind w:left="0"/>
              <w:jc w:val="center"/>
              <w:rPr>
                <w:sz w:val="28"/>
                <w:szCs w:val="28"/>
              </w:rPr>
            </w:pPr>
            <w:r>
              <w:rPr>
                <w:sz w:val="28"/>
                <w:szCs w:val="28"/>
              </w:rPr>
              <w:t>Класні керівники</w:t>
            </w:r>
          </w:p>
        </w:tc>
        <w:tc>
          <w:tcPr>
            <w:tcW w:w="2701" w:type="dxa"/>
          </w:tcPr>
          <w:p>
            <w:pPr>
              <w:pStyle w:val="25"/>
              <w:tabs>
                <w:tab w:val="left" w:pos="661"/>
                <w:tab w:val="left" w:pos="2066"/>
                <w:tab w:val="left" w:pos="3534"/>
              </w:tabs>
              <w:spacing w:line="276" w:lineRule="auto"/>
              <w:ind w:left="0"/>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1" w:hRule="atLeast"/>
        </w:trPr>
        <w:tc>
          <w:tcPr>
            <w:tcW w:w="4796" w:type="dxa"/>
            <w:shd w:val="clear" w:color="auto" w:fill="FFFFFF" w:themeFill="background1"/>
          </w:tcPr>
          <w:p>
            <w:pPr>
              <w:pStyle w:val="25"/>
              <w:spacing w:line="276" w:lineRule="auto"/>
              <w:ind w:left="0"/>
              <w:rPr>
                <w:sz w:val="28"/>
                <w:szCs w:val="28"/>
              </w:rPr>
            </w:pPr>
            <w:r>
              <w:rPr>
                <w:sz w:val="28"/>
                <w:szCs w:val="28"/>
                <w:lang w:val="ru-RU"/>
              </w:rPr>
              <w:t>19</w:t>
            </w:r>
            <w:r>
              <w:rPr>
                <w:sz w:val="28"/>
                <w:szCs w:val="28"/>
              </w:rPr>
              <w:t>.Проведення Круглого столу на тему: «Протидія та профілактика домашнього насильства у відношенні до дітей»</w:t>
            </w:r>
          </w:p>
        </w:tc>
        <w:tc>
          <w:tcPr>
            <w:tcW w:w="2553" w:type="dxa"/>
            <w:tcBorders>
              <w:right w:val="single" w:color="auto" w:sz="4" w:space="0"/>
            </w:tcBorders>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психолог</w:t>
            </w:r>
          </w:p>
          <w:p>
            <w:pPr>
              <w:pStyle w:val="25"/>
              <w:spacing w:line="276" w:lineRule="auto"/>
              <w:ind w:left="143" w:right="1996"/>
              <w:jc w:val="center"/>
              <w:rPr>
                <w:sz w:val="28"/>
                <w:szCs w:val="28"/>
              </w:rPr>
            </w:pPr>
          </w:p>
        </w:tc>
        <w:tc>
          <w:tcPr>
            <w:tcW w:w="2701" w:type="dxa"/>
            <w:tcBorders>
              <w:left w:val="single" w:color="auto" w:sz="4" w:space="0"/>
            </w:tcBorders>
          </w:tcPr>
          <w:p>
            <w:pPr>
              <w:pStyle w:val="25"/>
              <w:tabs>
                <w:tab w:val="left" w:pos="661"/>
                <w:tab w:val="left" w:pos="2066"/>
                <w:tab w:val="left" w:pos="3534"/>
              </w:tabs>
              <w:spacing w:line="276" w:lineRule="auto"/>
              <w:ind w:left="0"/>
              <w:jc w:val="center"/>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5" w:hRule="atLeast"/>
        </w:trPr>
        <w:tc>
          <w:tcPr>
            <w:tcW w:w="4796" w:type="dxa"/>
            <w:tcBorders>
              <w:top w:val="nil"/>
              <w:bottom w:val="single" w:color="auto" w:sz="4" w:space="0"/>
            </w:tcBorders>
            <w:shd w:val="clear" w:color="auto" w:fill="FFFFFF" w:themeFill="background1"/>
          </w:tcPr>
          <w:p>
            <w:pPr>
              <w:pStyle w:val="25"/>
              <w:spacing w:line="276" w:lineRule="auto"/>
              <w:ind w:left="0"/>
              <w:rPr>
                <w:sz w:val="28"/>
                <w:szCs w:val="28"/>
              </w:rPr>
            </w:pPr>
            <w:r>
              <w:rPr>
                <w:sz w:val="28"/>
                <w:szCs w:val="28"/>
                <w:lang w:val="ru-RU"/>
              </w:rPr>
              <w:t>20.</w:t>
            </w:r>
            <w:r>
              <w:rPr>
                <w:sz w:val="28"/>
                <w:szCs w:val="28"/>
              </w:rPr>
              <w:t>Заняття з елементами тренінгу на тему: «Конфлікт як елемент людських стосунків»</w:t>
            </w:r>
          </w:p>
        </w:tc>
        <w:tc>
          <w:tcPr>
            <w:tcW w:w="2553" w:type="dxa"/>
            <w:tcBorders>
              <w:top w:val="nil"/>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 xml:space="preserve">психолог </w:t>
            </w:r>
          </w:p>
        </w:tc>
        <w:tc>
          <w:tcPr>
            <w:tcW w:w="2701" w:type="dxa"/>
            <w:tcBorders>
              <w:top w:val="nil"/>
              <w:bottom w:val="single" w:color="auto" w:sz="4" w:space="0"/>
              <w:right w:val="single" w:color="auto" w:sz="4" w:space="0"/>
            </w:tcBorders>
          </w:tcPr>
          <w:p>
            <w:pPr>
              <w:widowControl w:val="0"/>
              <w:autoSpaceDE w:val="0"/>
              <w:autoSpaceDN w:val="0"/>
              <w:spacing w:after="0" w:line="240" w:lineRule="auto"/>
              <w:rPr>
                <w:rFonts w:ascii="Times New Roman" w:hAnsi="Times New Roman" w:eastAsia="Times New Roman" w:cs="Times New Roman"/>
                <w:sz w:val="28"/>
                <w:szCs w:val="28"/>
                <w:lang w:val="uk-UA"/>
              </w:rPr>
            </w:pPr>
          </w:p>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1"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lang w:val="ru-RU"/>
              </w:rPr>
            </w:pPr>
            <w:r>
              <w:rPr>
                <w:sz w:val="28"/>
                <w:szCs w:val="28"/>
              </w:rPr>
              <w:t>21.Створення шкільної служби толерантності та порозуміння (моніторинг випадків булінгу)</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Практичний</w:t>
            </w:r>
          </w:p>
          <w:p>
            <w:pPr>
              <w:pStyle w:val="25"/>
              <w:tabs>
                <w:tab w:val="left" w:pos="661"/>
                <w:tab w:val="left" w:pos="2066"/>
                <w:tab w:val="left" w:pos="3534"/>
              </w:tabs>
              <w:spacing w:line="276" w:lineRule="auto"/>
              <w:ind w:left="0"/>
              <w:jc w:val="center"/>
              <w:rPr>
                <w:sz w:val="28"/>
                <w:szCs w:val="28"/>
              </w:rPr>
            </w:pPr>
            <w:r>
              <w:rPr>
                <w:sz w:val="28"/>
                <w:szCs w:val="28"/>
              </w:rPr>
              <w:t xml:space="preserve">психолог </w:t>
            </w: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8" w:hRule="atLeast"/>
        </w:trPr>
        <w:tc>
          <w:tcPr>
            <w:tcW w:w="4796" w:type="dxa"/>
            <w:vMerge w:val="restart"/>
            <w:tcBorders>
              <w:top w:val="single" w:color="auto" w:sz="4" w:space="0"/>
            </w:tcBorders>
            <w:shd w:val="clear" w:color="auto" w:fill="FFFFFF" w:themeFill="background1"/>
          </w:tcPr>
          <w:p>
            <w:pPr>
              <w:pStyle w:val="25"/>
              <w:spacing w:line="276" w:lineRule="auto"/>
              <w:ind w:left="0"/>
              <w:rPr>
                <w:sz w:val="28"/>
                <w:szCs w:val="28"/>
              </w:rPr>
            </w:pPr>
            <w:r>
              <w:rPr>
                <w:sz w:val="28"/>
                <w:szCs w:val="28"/>
              </w:rPr>
              <w:t xml:space="preserve">22.Проведення акції </w:t>
            </w:r>
            <w:r>
              <w:rPr>
                <w:sz w:val="28"/>
                <w:szCs w:val="28"/>
                <w:lang w:val="ru-RU"/>
              </w:rPr>
              <w:t>“</w:t>
            </w:r>
            <w:r>
              <w:rPr>
                <w:sz w:val="28"/>
                <w:szCs w:val="28"/>
              </w:rPr>
              <w:t>16 днів проти насильства</w:t>
            </w:r>
            <w:r>
              <w:rPr>
                <w:sz w:val="28"/>
                <w:szCs w:val="28"/>
                <w:lang w:val="ru-RU"/>
              </w:rPr>
              <w:t>’’</w:t>
            </w:r>
          </w:p>
          <w:p>
            <w:pPr>
              <w:pStyle w:val="25"/>
              <w:spacing w:line="276" w:lineRule="auto"/>
              <w:ind w:left="0"/>
              <w:rPr>
                <w:sz w:val="28"/>
                <w:szCs w:val="28"/>
              </w:rPr>
            </w:pPr>
            <w:r>
              <w:rPr>
                <w:sz w:val="28"/>
                <w:szCs w:val="28"/>
              </w:rPr>
              <w:t xml:space="preserve">23.Розміщення на сайті закладу освіти Плану роботи закладу щодо запобігання  </w:t>
            </w:r>
          </w:p>
          <w:p>
            <w:pPr>
              <w:pStyle w:val="25"/>
              <w:spacing w:line="276" w:lineRule="auto"/>
              <w:ind w:left="0"/>
              <w:rPr>
                <w:sz w:val="28"/>
                <w:szCs w:val="28"/>
              </w:rPr>
            </w:pPr>
            <w:r>
              <w:rPr>
                <w:sz w:val="28"/>
                <w:szCs w:val="28"/>
              </w:rPr>
              <w:t>булінгу,насильства на 2021 – 2022 н. р.</w:t>
            </w:r>
          </w:p>
        </w:tc>
        <w:tc>
          <w:tcPr>
            <w:tcW w:w="2553" w:type="dxa"/>
            <w:vMerge w:val="restart"/>
            <w:tcBorders>
              <w:top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r>
              <w:rPr>
                <w:sz w:val="28"/>
                <w:szCs w:val="28"/>
              </w:rPr>
              <w:t xml:space="preserve">       Кл. керівники</w:t>
            </w:r>
          </w:p>
          <w:p>
            <w:pPr>
              <w:pStyle w:val="25"/>
              <w:tabs>
                <w:tab w:val="left" w:pos="661"/>
                <w:tab w:val="left" w:pos="2066"/>
                <w:tab w:val="left" w:pos="3534"/>
              </w:tabs>
              <w:spacing w:line="276" w:lineRule="auto"/>
              <w:ind w:left="0"/>
              <w:jc w:val="center"/>
              <w:rPr>
                <w:sz w:val="28"/>
                <w:szCs w:val="28"/>
              </w:rPr>
            </w:pPr>
            <w:r>
              <w:rPr>
                <w:sz w:val="28"/>
                <w:szCs w:val="28"/>
              </w:rPr>
              <w:t>Пр. психолог</w:t>
            </w:r>
          </w:p>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 xml:space="preserve">Адміністрація </w:t>
            </w: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4796" w:type="dxa"/>
            <w:vMerge w:val="continue"/>
            <w:tcBorders>
              <w:bottom w:val="single" w:color="auto" w:sz="4" w:space="0"/>
            </w:tcBorders>
            <w:shd w:val="clear" w:color="auto" w:fill="FFFFFF" w:themeFill="background1"/>
          </w:tcPr>
          <w:p>
            <w:pPr>
              <w:pStyle w:val="25"/>
              <w:spacing w:line="276" w:lineRule="auto"/>
              <w:ind w:left="0"/>
              <w:rPr>
                <w:sz w:val="28"/>
                <w:szCs w:val="28"/>
              </w:rPr>
            </w:pPr>
          </w:p>
        </w:tc>
        <w:tc>
          <w:tcPr>
            <w:tcW w:w="2553" w:type="dxa"/>
            <w:vMerge w:val="continue"/>
            <w:tcBorders>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5"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rPr>
              <w:t>24.Перегляд та оновлення  складу комісії з розгляду випадків булінгу (цькування) в закладі освіти.</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 xml:space="preserve">Адміністрація </w:t>
            </w:r>
          </w:p>
          <w:p>
            <w:pPr>
              <w:pStyle w:val="25"/>
              <w:tabs>
                <w:tab w:val="left" w:pos="661"/>
                <w:tab w:val="left" w:pos="2066"/>
                <w:tab w:val="left" w:pos="3534"/>
              </w:tabs>
              <w:spacing w:line="276" w:lineRule="auto"/>
              <w:ind w:left="0"/>
              <w:jc w:val="center"/>
              <w:rPr>
                <w:sz w:val="28"/>
                <w:szCs w:val="28"/>
              </w:rPr>
            </w:pP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2"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rPr>
              <w:t>25.Опрацювання з педагогічним колективом матеріалів , розміщених на сайті МОН України щодо протидії боулінгу.</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Адміністрація</w:t>
            </w:r>
          </w:p>
          <w:p>
            <w:pPr>
              <w:pStyle w:val="25"/>
              <w:tabs>
                <w:tab w:val="left" w:pos="661"/>
                <w:tab w:val="left" w:pos="2066"/>
                <w:tab w:val="left" w:pos="3534"/>
              </w:tabs>
              <w:spacing w:line="276" w:lineRule="auto"/>
              <w:ind w:left="0"/>
              <w:jc w:val="center"/>
              <w:rPr>
                <w:sz w:val="28"/>
                <w:szCs w:val="28"/>
              </w:rPr>
            </w:pP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13"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rPr>
              <w:t>26.Моніторинг відповідності закладу  освіти критеріям  ’’ Безпечної і дружньої для дитини школи’’ .</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Адміністрація</w:t>
            </w:r>
          </w:p>
          <w:p>
            <w:pPr>
              <w:pStyle w:val="25"/>
              <w:tabs>
                <w:tab w:val="left" w:pos="661"/>
                <w:tab w:val="left" w:pos="2066"/>
                <w:tab w:val="left" w:pos="3534"/>
              </w:tabs>
              <w:spacing w:line="276" w:lineRule="auto"/>
              <w:ind w:left="0"/>
              <w:jc w:val="center"/>
              <w:rPr>
                <w:sz w:val="28"/>
                <w:szCs w:val="28"/>
              </w:rPr>
            </w:pP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2"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rPr>
              <w:t>27.Проведення моніторингу безпечності та комфортності закладу освіти та освітнього середовища щляхом  опитування, анкетування.</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Адміністрація</w:t>
            </w:r>
          </w:p>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54"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rPr>
              <w:t xml:space="preserve">28. Робота ради профілактики  правопорушень. </w:t>
            </w:r>
            <w:r>
              <w:rPr>
                <w:sz w:val="28"/>
                <w:szCs w:val="28"/>
                <w:lang w:val="ru-RU"/>
              </w:rPr>
              <w:t>’’</w:t>
            </w:r>
            <w:r>
              <w:rPr>
                <w:sz w:val="28"/>
                <w:szCs w:val="28"/>
              </w:rPr>
              <w:t xml:space="preserve"> Шість запитань і відповідей про кібербулінг</w:t>
            </w:r>
            <w:r>
              <w:rPr>
                <w:sz w:val="28"/>
                <w:szCs w:val="28"/>
                <w:lang w:val="ru-RU"/>
              </w:rPr>
              <w:t>’’</w:t>
            </w:r>
            <w:r>
              <w:rPr>
                <w:sz w:val="28"/>
                <w:szCs w:val="28"/>
              </w:rPr>
              <w:t xml:space="preserve">.  Заняття з елементами тренінгу  ’’Попередження  конфліктів’’. </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Рада профілактики</w:t>
            </w:r>
          </w:p>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4"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rPr>
              <w:t>29.Організація  проходження педагогічними працівниками он-лайн курсу ’’ Протидія та попередження булінгу(цькування) в закладах освіти’’</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jc w:val="center"/>
              <w:rPr>
                <w:sz w:val="28"/>
                <w:szCs w:val="28"/>
              </w:rPr>
            </w:pPr>
            <w:r>
              <w:rPr>
                <w:sz w:val="28"/>
                <w:szCs w:val="28"/>
              </w:rPr>
              <w:t>Педколектив</w:t>
            </w:r>
          </w:p>
          <w:p>
            <w:pPr>
              <w:pStyle w:val="25"/>
              <w:tabs>
                <w:tab w:val="left" w:pos="661"/>
                <w:tab w:val="left" w:pos="2066"/>
                <w:tab w:val="left" w:pos="3534"/>
              </w:tabs>
              <w:spacing w:line="276" w:lineRule="auto"/>
              <w:ind w:left="0"/>
              <w:jc w:val="center"/>
              <w:rPr>
                <w:sz w:val="28"/>
                <w:szCs w:val="28"/>
              </w:rPr>
            </w:pPr>
          </w:p>
          <w:p>
            <w:pPr>
              <w:pStyle w:val="25"/>
              <w:tabs>
                <w:tab w:val="left" w:pos="661"/>
                <w:tab w:val="left" w:pos="2066"/>
                <w:tab w:val="left" w:pos="3534"/>
              </w:tabs>
              <w:spacing w:line="276" w:lineRule="auto"/>
              <w:ind w:left="0"/>
              <w:rPr>
                <w:sz w:val="28"/>
                <w:szCs w:val="28"/>
              </w:rPr>
            </w:pP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69"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lang w:val="ru-RU"/>
              </w:rPr>
              <w:t>30.Виготовлення та розповсюдження листівок серед здобувачів освіти  ”Як не стати жертвою булінгу’’</w:t>
            </w:r>
            <w:r>
              <w:rPr>
                <w:sz w:val="28"/>
                <w:szCs w:val="28"/>
              </w:rPr>
              <w:t>.</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r>
              <w:rPr>
                <w:sz w:val="28"/>
                <w:szCs w:val="28"/>
              </w:rPr>
              <w:t>Кл. керівники Практичний психолог</w:t>
            </w: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8"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lang w:val="ru-RU"/>
              </w:rPr>
            </w:pPr>
            <w:r>
              <w:rPr>
                <w:sz w:val="28"/>
                <w:szCs w:val="28"/>
              </w:rPr>
              <w:t>31.Провести батьківські збори,консультації  і висвітлити на сайті школи питання навчання, виховання і профілактики насилля, булінгу  в закладі освіти.</w:t>
            </w: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r>
              <w:rPr>
                <w:sz w:val="28"/>
                <w:szCs w:val="28"/>
              </w:rPr>
              <w:t>Адміністрація</w:t>
            </w:r>
          </w:p>
          <w:p>
            <w:pPr>
              <w:pStyle w:val="25"/>
              <w:tabs>
                <w:tab w:val="left" w:pos="661"/>
                <w:tab w:val="left" w:pos="2066"/>
                <w:tab w:val="left" w:pos="3534"/>
              </w:tabs>
              <w:spacing w:line="276" w:lineRule="auto"/>
              <w:ind w:left="0"/>
              <w:jc w:val="center"/>
              <w:rPr>
                <w:sz w:val="28"/>
                <w:szCs w:val="28"/>
              </w:rPr>
            </w:pPr>
            <w:r>
              <w:rPr>
                <w:sz w:val="28"/>
                <w:szCs w:val="28"/>
              </w:rPr>
              <w:t>Кл. керівники</w:t>
            </w:r>
          </w:p>
          <w:p>
            <w:pPr>
              <w:pStyle w:val="25"/>
              <w:tabs>
                <w:tab w:val="left" w:pos="661"/>
                <w:tab w:val="left" w:pos="2066"/>
                <w:tab w:val="left" w:pos="3534"/>
              </w:tabs>
              <w:spacing w:line="276" w:lineRule="auto"/>
              <w:ind w:left="0"/>
              <w:jc w:val="center"/>
              <w:rPr>
                <w:sz w:val="28"/>
                <w:szCs w:val="28"/>
              </w:rPr>
            </w:pPr>
            <w:r>
              <w:rPr>
                <w:sz w:val="28"/>
                <w:szCs w:val="28"/>
              </w:rPr>
              <w:t>Практичний психолог</w:t>
            </w: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4796" w:type="dxa"/>
            <w:tcBorders>
              <w:top w:val="single" w:color="auto" w:sz="4" w:space="0"/>
              <w:bottom w:val="single" w:color="auto" w:sz="4" w:space="0"/>
            </w:tcBorders>
            <w:shd w:val="clear" w:color="auto" w:fill="FFFFFF" w:themeFill="background1"/>
          </w:tcPr>
          <w:p>
            <w:pPr>
              <w:pStyle w:val="25"/>
              <w:spacing w:line="276" w:lineRule="auto"/>
              <w:ind w:left="0"/>
              <w:rPr>
                <w:sz w:val="28"/>
                <w:szCs w:val="28"/>
              </w:rPr>
            </w:pPr>
            <w:r>
              <w:rPr>
                <w:sz w:val="28"/>
                <w:szCs w:val="28"/>
              </w:rPr>
              <w:t>32.Організація перевірки приміщень, території закладу освіти з метою виявлення місць, які потенційно можуть бути небезпечними.</w:t>
            </w:r>
          </w:p>
          <w:p>
            <w:pPr>
              <w:pStyle w:val="25"/>
              <w:spacing w:line="276" w:lineRule="auto"/>
              <w:ind w:left="0"/>
              <w:rPr>
                <w:sz w:val="28"/>
                <w:szCs w:val="28"/>
              </w:rPr>
            </w:pPr>
          </w:p>
          <w:p>
            <w:pPr>
              <w:pStyle w:val="25"/>
              <w:spacing w:line="276" w:lineRule="auto"/>
              <w:ind w:left="0"/>
              <w:rPr>
                <w:sz w:val="28"/>
                <w:szCs w:val="28"/>
                <w:lang w:val="ru-RU"/>
              </w:rPr>
            </w:pPr>
          </w:p>
        </w:tc>
        <w:tc>
          <w:tcPr>
            <w:tcW w:w="2553"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jc w:val="center"/>
              <w:rPr>
                <w:sz w:val="28"/>
                <w:szCs w:val="28"/>
              </w:rPr>
            </w:pPr>
            <w:r>
              <w:rPr>
                <w:sz w:val="28"/>
                <w:szCs w:val="28"/>
              </w:rPr>
              <w:t>Адміністрація</w:t>
            </w:r>
          </w:p>
        </w:tc>
        <w:tc>
          <w:tcPr>
            <w:tcW w:w="2701" w:type="dxa"/>
            <w:tcBorders>
              <w:top w:val="single" w:color="auto" w:sz="4" w:space="0"/>
              <w:bottom w:val="single" w:color="auto" w:sz="4" w:space="0"/>
              <w:right w:val="single" w:color="auto" w:sz="4" w:space="0"/>
            </w:tcBorders>
          </w:tcPr>
          <w:p>
            <w:pPr>
              <w:pStyle w:val="25"/>
              <w:tabs>
                <w:tab w:val="left" w:pos="661"/>
                <w:tab w:val="left" w:pos="2066"/>
                <w:tab w:val="left" w:pos="3534"/>
              </w:tabs>
              <w:spacing w:line="276" w:lineRule="auto"/>
              <w:ind w:left="0"/>
              <w:rPr>
                <w:sz w:val="28"/>
                <w:szCs w:val="28"/>
              </w:rPr>
            </w:pPr>
          </w:p>
        </w:tc>
      </w:tr>
    </w:tbl>
    <w:p>
      <w:pPr>
        <w:spacing w:before="1" w:after="3"/>
        <w:ind w:left="1658" w:right="1086"/>
        <w:jc w:val="center"/>
        <w:rPr>
          <w:rFonts w:ascii="Times New Roman" w:hAnsi="Times New Roman" w:cs="Times New Roman"/>
          <w:b/>
          <w:i/>
          <w:sz w:val="36"/>
          <w:szCs w:val="36"/>
          <w:lang w:val="uk-UA"/>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p>
    <w:p>
      <w:pPr>
        <w:spacing w:after="0" w:line="432" w:lineRule="atLeast"/>
        <w:rPr>
          <w:rFonts w:ascii="Times New Roman" w:hAnsi="Times New Roman" w:eastAsia="Times New Roman" w:cs="Times New Roman"/>
          <w:b/>
          <w:i/>
          <w:sz w:val="32"/>
          <w:szCs w:val="32"/>
          <w:u w:val="single"/>
          <w:lang w:eastAsia="ru-RU"/>
        </w:rPr>
      </w:pPr>
      <w:r>
        <w:rPr>
          <w:rFonts w:ascii="Times New Roman" w:hAnsi="Times New Roman" w:eastAsia="Times New Roman" w:cs="Times New Roman"/>
          <w:b/>
          <w:i/>
          <w:sz w:val="32"/>
          <w:szCs w:val="32"/>
          <w:u w:val="single"/>
          <w:lang w:eastAsia="ru-RU"/>
        </w:rPr>
        <w:t>Блок ІV</w:t>
      </w:r>
      <w:r>
        <w:rPr>
          <w:rFonts w:ascii="Times New Roman" w:hAnsi="Times New Roman" w:eastAsia="Times New Roman" w:cs="Times New Roman"/>
          <w:b/>
          <w:i/>
          <w:sz w:val="32"/>
          <w:szCs w:val="32"/>
          <w:u w:val="single"/>
          <w:lang w:val="uk-UA" w:eastAsia="ru-RU"/>
        </w:rPr>
        <w:t>.</w:t>
      </w:r>
      <w:r>
        <w:rPr>
          <w:rFonts w:ascii="Times New Roman" w:hAnsi="Times New Roman" w:eastAsia="Times New Roman" w:cs="Times New Roman"/>
          <w:b/>
          <w:i/>
          <w:sz w:val="32"/>
          <w:szCs w:val="32"/>
          <w:u w:val="single"/>
          <w:lang w:eastAsia="ru-RU"/>
        </w:rPr>
        <w:t xml:space="preserve"> «Управління освітнім процесом</w:t>
      </w:r>
      <w:r>
        <w:rPr>
          <w:rFonts w:ascii="Times New Roman" w:hAnsi="Times New Roman" w:eastAsia="Times New Roman" w:cs="Times New Roman"/>
          <w:b/>
          <w:i/>
          <w:sz w:val="32"/>
          <w:szCs w:val="32"/>
          <w:u w:val="single"/>
          <w:lang w:val="uk-UA" w:eastAsia="ru-RU"/>
        </w:rPr>
        <w:t xml:space="preserve"> в закладі освіти</w:t>
      </w:r>
      <w:r>
        <w:rPr>
          <w:rFonts w:ascii="Times New Roman" w:hAnsi="Times New Roman" w:eastAsia="Times New Roman" w:cs="Times New Roman"/>
          <w:b/>
          <w:i/>
          <w:sz w:val="32"/>
          <w:szCs w:val="32"/>
          <w:u w:val="single"/>
          <w:lang w:eastAsia="ru-RU"/>
        </w:rPr>
        <w:t>»</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Управлінські процеси у закладі освіти – це:</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наявність стратегії розвитку та системи планування діяльності закладу, моніторинг виконання поставлених цілей і завдань;</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формування відносин довіри, прозорості, дотримання етичних норм;</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ефективність кадрової політики та забезпечення можливостей для професійного розвитку педагогічних працівників;</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формування та забезпечення реалізації політики академічної доброчесності.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shd w:val="clear" w:color="auto" w:fill="F1F1F1" w:themeFill="background1" w:themeFillShade="F2"/>
          <w:lang w:eastAsia="ru-RU"/>
        </w:rPr>
        <w:t>Стратегія забезпечення якості освіти</w:t>
      </w:r>
      <w:r>
        <w:rPr>
          <w:rFonts w:ascii="Times New Roman" w:hAnsi="Times New Roman" w:eastAsia="Times New Roman" w:cs="Times New Roman"/>
          <w:sz w:val="28"/>
          <w:szCs w:val="28"/>
          <w:lang w:eastAsia="ru-RU"/>
        </w:rPr>
        <w:t xml:space="preserve"> базується на наступних принципах:</w:t>
      </w:r>
    </w:p>
    <w:p>
      <w:pPr>
        <w:pStyle w:val="26"/>
        <w:numPr>
          <w:ilvl w:val="0"/>
          <w:numId w:val="1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цілісності, який полягає в єдності усіх видів освітніх</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впливів на здобувача освіти; їх підпорядкованості головній меті освітньої діяльності, яка заключається у всебічному розвитку , вихованні і соціалізації особистості, що здатна до життя в сучасному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відповідальності, трудової діяльності та громадянської активності;</w:t>
      </w:r>
    </w:p>
    <w:p>
      <w:pPr>
        <w:pStyle w:val="26"/>
        <w:numPr>
          <w:ilvl w:val="0"/>
          <w:numId w:val="1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відповідності Державним стандартам загальної</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середньої освіти;</w:t>
      </w:r>
    </w:p>
    <w:p>
      <w:pPr>
        <w:pStyle w:val="26"/>
        <w:numPr>
          <w:ilvl w:val="0"/>
          <w:numId w:val="1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розвитку, що випливає з необхідності вдосконалення</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якості освітнього процесу відповідно до зміни внутрішнього та зовнішнього середовища, аналізу даних та інформації про результативність освітньої діяльності;</w:t>
      </w:r>
    </w:p>
    <w:p>
      <w:pPr>
        <w:pStyle w:val="26"/>
        <w:numPr>
          <w:ilvl w:val="0"/>
          <w:numId w:val="1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принцип відкритості інформації на всіх етапах забезпечення</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якості та прозорості процедур системи забезпечення якості освітньої діяльності.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shd w:val="clear" w:color="auto" w:fill="F1F1F1" w:themeFill="background1" w:themeFillShade="F2"/>
          <w:lang w:eastAsia="ru-RU"/>
        </w:rPr>
        <w:t>Внутрішня система забезпечення якості освіти</w:t>
      </w:r>
      <w:r>
        <w:rPr>
          <w:rFonts w:ascii="Times New Roman" w:hAnsi="Times New Roman" w:eastAsia="Times New Roman" w:cs="Times New Roman"/>
          <w:sz w:val="28"/>
          <w:szCs w:val="28"/>
          <w:lang w:eastAsia="ru-RU"/>
        </w:rPr>
        <w:t xml:space="preserve"> у закладі передбачає здійснення таких процедур і заходів:</w:t>
      </w:r>
    </w:p>
    <w:p>
      <w:pPr>
        <w:pStyle w:val="26"/>
        <w:numPr>
          <w:ilvl w:val="0"/>
          <w:numId w:val="1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функціонування системи формування компетентностей учнів;</w:t>
      </w:r>
    </w:p>
    <w:p>
      <w:pPr>
        <w:pStyle w:val="26"/>
        <w:numPr>
          <w:ilvl w:val="0"/>
          <w:numId w:val="1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підвищення кваліфікації педагогічних працівників, посилення кадрового потенціалу школи;</w:t>
      </w:r>
    </w:p>
    <w:p>
      <w:pPr>
        <w:pStyle w:val="26"/>
        <w:numPr>
          <w:ilvl w:val="0"/>
          <w:numId w:val="1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забезпечення наявності необхідних ресурсів для організації освітнього процесу.</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shd w:val="clear" w:color="auto" w:fill="F1F1F1" w:themeFill="background1" w:themeFillShade="F2"/>
          <w:lang w:eastAsia="ru-RU"/>
        </w:rPr>
        <w:t>Система контролю за реалізацією процедур забезпечення якості освіти</w:t>
      </w:r>
      <w:r>
        <w:rPr>
          <w:rFonts w:ascii="Times New Roman" w:hAnsi="Times New Roman" w:eastAsia="Times New Roman" w:cs="Times New Roman"/>
          <w:sz w:val="28"/>
          <w:szCs w:val="28"/>
          <w:lang w:eastAsia="ru-RU"/>
        </w:rPr>
        <w:t xml:space="preserve"> включає:</w:t>
      </w:r>
    </w:p>
    <w:p>
      <w:pPr>
        <w:pStyle w:val="26"/>
        <w:numPr>
          <w:ilvl w:val="0"/>
          <w:numId w:val="1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самооцінку ефективності діяльності із забезпечення якості освіти;</w:t>
      </w:r>
    </w:p>
    <w:p>
      <w:pPr>
        <w:pStyle w:val="26"/>
        <w:numPr>
          <w:ilvl w:val="0"/>
          <w:numId w:val="1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моніторинг якості освіти.</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Завдання моніторингу якості освіти:</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p>
    <w:p>
      <w:pPr>
        <w:pStyle w:val="26"/>
        <w:numPr>
          <w:ilvl w:val="0"/>
          <w:numId w:val="14"/>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здійснення систематичного контролю за освітнім процесом в закладі;</w:t>
      </w:r>
    </w:p>
    <w:p>
      <w:pPr>
        <w:pStyle w:val="26"/>
        <w:numPr>
          <w:ilvl w:val="0"/>
          <w:numId w:val="14"/>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створення власної системи неперервного і тривалого спостереження, оцінювання стану освітнього процесу;</w:t>
      </w:r>
    </w:p>
    <w:p>
      <w:pPr>
        <w:pStyle w:val="26"/>
        <w:numPr>
          <w:ilvl w:val="0"/>
          <w:numId w:val="14"/>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аналіз чинників впливу на результативність освітнього процесу, підтримка високої мотивації навчання;</w:t>
      </w:r>
    </w:p>
    <w:p>
      <w:pPr>
        <w:pStyle w:val="26"/>
        <w:numPr>
          <w:ilvl w:val="0"/>
          <w:numId w:val="14"/>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створення оптимальних соціально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психологічних умов для саморозвитку та самореалізації учнів і педагогів;</w:t>
      </w:r>
    </w:p>
    <w:p>
      <w:pPr>
        <w:pStyle w:val="26"/>
        <w:numPr>
          <w:ilvl w:val="0"/>
          <w:numId w:val="14"/>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прогнозування на підставі об’єктивних даних динаміки й тенденцій розвитку освітнього процесу в закладі.</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Моніторинг в закладі здійснюють:</w:t>
      </w:r>
    </w:p>
    <w:p>
      <w:pPr>
        <w:pStyle w:val="26"/>
        <w:numPr>
          <w:ilvl w:val="0"/>
          <w:numId w:val="15"/>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директор школи та його заступники з навчально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виховної роботи;</w:t>
      </w:r>
    </w:p>
    <w:p>
      <w:pPr>
        <w:pStyle w:val="26"/>
        <w:numPr>
          <w:ilvl w:val="0"/>
          <w:numId w:val="15"/>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 що здійснюють управління у сфері освіти міста, області, держави;</w:t>
      </w:r>
    </w:p>
    <w:p>
      <w:pPr>
        <w:pStyle w:val="26"/>
        <w:numPr>
          <w:ilvl w:val="0"/>
          <w:numId w:val="15"/>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органи самоврядування, які створюються педагогічними</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працівниками, учнями та батьками, в межах делегованих повноважень;</w:t>
      </w:r>
    </w:p>
    <w:p>
      <w:pPr>
        <w:pStyle w:val="26"/>
        <w:numPr>
          <w:ilvl w:val="0"/>
          <w:numId w:val="1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громадськість (в межах законних повноважень).</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Основними формами моніторингу є:</w:t>
      </w:r>
    </w:p>
    <w:p>
      <w:pPr>
        <w:pStyle w:val="26"/>
        <w:numPr>
          <w:ilvl w:val="0"/>
          <w:numId w:val="1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проведення контрольних робіт;</w:t>
      </w:r>
    </w:p>
    <w:p>
      <w:pPr>
        <w:pStyle w:val="26"/>
        <w:numPr>
          <w:ilvl w:val="0"/>
          <w:numId w:val="1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участь учнів у І та ІІ, ІІІ етапі Всеукраїнських предметних олімпіад, конкурсів;</w:t>
      </w:r>
    </w:p>
    <w:p>
      <w:pPr>
        <w:pStyle w:val="26"/>
        <w:numPr>
          <w:ilvl w:val="0"/>
          <w:numId w:val="1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перевірка документації;</w:t>
      </w:r>
    </w:p>
    <w:p>
      <w:pPr>
        <w:pStyle w:val="26"/>
        <w:numPr>
          <w:ilvl w:val="0"/>
          <w:numId w:val="1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опитування, анкетування;</w:t>
      </w:r>
    </w:p>
    <w:p>
      <w:pPr>
        <w:pStyle w:val="26"/>
        <w:numPr>
          <w:ilvl w:val="0"/>
          <w:numId w:val="1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відвідування уроків, заходів.</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Критерії моніторингу:</w:t>
      </w:r>
    </w:p>
    <w:p>
      <w:pPr>
        <w:pStyle w:val="26"/>
        <w:numPr>
          <w:ilvl w:val="0"/>
          <w:numId w:val="1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об’єктивність;</w:t>
      </w:r>
    </w:p>
    <w:p>
      <w:pPr>
        <w:pStyle w:val="26"/>
        <w:numPr>
          <w:ilvl w:val="0"/>
          <w:numId w:val="1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систематичність;</w:t>
      </w:r>
    </w:p>
    <w:p>
      <w:pPr>
        <w:pStyle w:val="26"/>
        <w:numPr>
          <w:ilvl w:val="0"/>
          <w:numId w:val="1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відповідність завдань змісту досліджуваного матеріалу;</w:t>
      </w:r>
    </w:p>
    <w:p>
      <w:pPr>
        <w:pStyle w:val="26"/>
        <w:numPr>
          <w:ilvl w:val="0"/>
          <w:numId w:val="1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надійність (повторний контроль іншими суб’єктами);</w:t>
      </w:r>
    </w:p>
    <w:p>
      <w:pPr>
        <w:pStyle w:val="26"/>
        <w:numPr>
          <w:ilvl w:val="0"/>
          <w:numId w:val="1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гуманізм (в умовах довіри, поваги до особистості).</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Очікувані результати:</w:t>
      </w:r>
    </w:p>
    <w:p>
      <w:pPr>
        <w:pStyle w:val="26"/>
        <w:numPr>
          <w:ilvl w:val="0"/>
          <w:numId w:val="18"/>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отримання результатів стану освітнього процесу в закладі;</w:t>
      </w:r>
    </w:p>
    <w:p>
      <w:pPr>
        <w:pStyle w:val="26"/>
        <w:numPr>
          <w:ilvl w:val="0"/>
          <w:numId w:val="18"/>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покращення функцій управління освітнім процесом, накопичення даних для прийняття управлінських та тактичних рішень.</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Результати моніторингу:</w:t>
      </w:r>
    </w:p>
    <w:p>
      <w:pPr>
        <w:pStyle w:val="26"/>
        <w:numPr>
          <w:ilvl w:val="0"/>
          <w:numId w:val="19"/>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підсумки моніторингу узагальнюються в схемах, діаграмах, висвітлюються в аналітично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інформаційних матеріалах;</w:t>
      </w:r>
    </w:p>
    <w:p>
      <w:pPr>
        <w:pStyle w:val="26"/>
        <w:numPr>
          <w:ilvl w:val="0"/>
          <w:numId w:val="19"/>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 результатами моніторингу розробляються рекомендації, приймаються управлінські рішення щодо планування та корекції роботи;</w:t>
      </w:r>
    </w:p>
    <w:p>
      <w:pPr>
        <w:pStyle w:val="26"/>
        <w:numPr>
          <w:ilvl w:val="0"/>
          <w:numId w:val="19"/>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дані моніторингу можуть використовуватись для обговорення на засіданнях методичних (творчих) об'єднань вчителів, нарадах при директору, засіданнях педагогічної ради, методичної ради, ради школи.</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Показники опису та інструментів моніторингу якості освіти:</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кадрове забезпечення освітньої діяльності – якісний і кількісний склад, професійний рівень педагогічного персоналу;</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контингент здобувачів освіти;</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психолого-соціологічний моніторинг;</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результати навчання учнів;</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педагогічна діяльність;</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управлінські процеси;</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освітнє середовище;</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медичний моніторинг;</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моніторинг охорони праці та безпеки життєдіяльності;</w:t>
      </w:r>
    </w:p>
    <w:p>
      <w:pPr>
        <w:pStyle w:val="26"/>
        <w:numPr>
          <w:ilvl w:val="0"/>
          <w:numId w:val="20"/>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оцінка іміджу закладу.</w:t>
      </w:r>
    </w:p>
    <w:p>
      <w:pPr>
        <w:shd w:val="clear" w:color="auto" w:fill="F1F1F1" w:themeFill="background1" w:themeFillShade="F2"/>
        <w:spacing w:after="0"/>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Система та механізми забезпечення академічної доброчесності</w:t>
      </w:r>
    </w:p>
    <w:p>
      <w:p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Дотримання академічної доброчесності педагогічними працівниками передбачає:</w:t>
      </w:r>
    </w:p>
    <w:p>
      <w:pPr>
        <w:pStyle w:val="26"/>
        <w:numPr>
          <w:ilvl w:val="0"/>
          <w:numId w:val="2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посилання на джерела інформації у разі використання ідей,</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розробок, тверджень, відомостей;</w:t>
      </w:r>
    </w:p>
    <w:p>
      <w:pPr>
        <w:pStyle w:val="26"/>
        <w:numPr>
          <w:ilvl w:val="0"/>
          <w:numId w:val="2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дотримання норм законодавства про авторське право і суміжні права;</w:t>
      </w:r>
    </w:p>
    <w:p>
      <w:pPr>
        <w:pStyle w:val="26"/>
        <w:numPr>
          <w:ilvl w:val="0"/>
          <w:numId w:val="2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надання достовірної інформації про методики і результати досліджень, джерела використаної інформації та власну педагогічну діяльність;</w:t>
      </w:r>
    </w:p>
    <w:p>
      <w:pPr>
        <w:pStyle w:val="26"/>
        <w:numPr>
          <w:ilvl w:val="0"/>
          <w:numId w:val="2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контроль за дотриманням академічної доброчесності учнями;</w:t>
      </w:r>
    </w:p>
    <w:p>
      <w:pPr>
        <w:pStyle w:val="26"/>
        <w:numPr>
          <w:ilvl w:val="0"/>
          <w:numId w:val="21"/>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об’єктивне оцінювання результатів навчання.</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Дотримання академічної доброчесності учнями передбачає:</w:t>
      </w:r>
    </w:p>
    <w:p>
      <w:pPr>
        <w:pStyle w:val="26"/>
        <w:numPr>
          <w:ilvl w:val="0"/>
          <w:numId w:val="2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самостійне виконання навчальних завдань, завдань поточного та підсумкового контролю результатів навчання;</w:t>
      </w:r>
    </w:p>
    <w:p>
      <w:pPr>
        <w:pStyle w:val="26"/>
        <w:numPr>
          <w:ilvl w:val="0"/>
          <w:numId w:val="2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посилання на джерела інформації у разі використання ідей, розробок, тверджень, відомостей;</w:t>
      </w:r>
    </w:p>
    <w:p>
      <w:pPr>
        <w:pStyle w:val="26"/>
        <w:numPr>
          <w:ilvl w:val="0"/>
          <w:numId w:val="2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дотримання норм законодавства про авторське право і суміжні права;</w:t>
      </w:r>
    </w:p>
    <w:p>
      <w:pPr>
        <w:pStyle w:val="26"/>
        <w:numPr>
          <w:ilvl w:val="0"/>
          <w:numId w:val="22"/>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надання достовірної інформації про результати власної навчальної діяльності, використані методики досліджень і джерела інформації.</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Порушенням академічної доброчесності вважається:</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академічний плагіат - оприлюднення (частково або повністю) наукових (творчих) результатів, отриманих іншими особами, як результатів власного дослідження (творчості) та/або відтворення</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опублікованих текстів (оприлюднених творів мистецтва) інших авторів без зазначення авторства;</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самоплагіат - оприлюднення (частково або повністю) власних раніше опублікованих наукових результатів як нових наукових результатів;</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фабрикація - вигадування даних чи фактів, що використовуються в освітньому процесі або наукових дослідженнях;</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фальсифікація - свідома зміна чи модифікація вже наявних даних, що стосуються освітнього процесу чи наукових досліджень;</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списування - виконання письмових робіт із залученням зовнішніх джерел інформації, крім дозволених для використання, зокрема під час оцінювання результатів навчання;</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обман - надання завідомо неправдивої інформації щодо власної освітньої (наукової, творчої) діяльності чи організації освітнього процесу; формами обману є, зокрема, академічний плагіат, самоплагіат, фабрикація, фальсифікація та списування;</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хабарництво - надання (отримання) учасником освітнього процесу чи пропозиція щодо надання (отримання)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w:t>
      </w:r>
    </w:p>
    <w:p>
      <w:pPr>
        <w:pStyle w:val="26"/>
        <w:numPr>
          <w:ilvl w:val="0"/>
          <w:numId w:val="23"/>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необ’єктивне оцінювання - свідоме завищення або заниження оцінки результатів навчання здобувачів освіти.</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 порушення академічної доброчесності педагогічні працівники школи можуть бути притягнені до такої академічної відповідальності:</w:t>
      </w:r>
    </w:p>
    <w:p>
      <w:pPr>
        <w:pStyle w:val="26"/>
        <w:numPr>
          <w:ilvl w:val="0"/>
          <w:numId w:val="24"/>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відмова в присвоєнні або позбавлення присвоєного педагогічного звання, кваліфікаційної категорії;</w:t>
      </w:r>
    </w:p>
    <w:p>
      <w:pPr>
        <w:pStyle w:val="26"/>
        <w:numPr>
          <w:ilvl w:val="0"/>
          <w:numId w:val="24"/>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позбавлення права брати участь у роботі визначених законом органів чи займати визначені законом посади.</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 порушення академічної доброчесності здобувачі освіти можуть бути притягнені до такої академічної відповідальності:</w:t>
      </w:r>
    </w:p>
    <w:p>
      <w:pPr>
        <w:pStyle w:val="26"/>
        <w:numPr>
          <w:ilvl w:val="0"/>
          <w:numId w:val="25"/>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повторне проходження оцінювання (контрольна робота, іспит, залік тощо);</w:t>
      </w:r>
    </w:p>
    <w:p>
      <w:pPr>
        <w:pStyle w:val="26"/>
        <w:numPr>
          <w:ilvl w:val="0"/>
          <w:numId w:val="25"/>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повторне проходження відповідного освітнього компонента освітньої програми.</w:t>
      </w:r>
    </w:p>
    <w:p>
      <w:pPr>
        <w:shd w:val="clear" w:color="auto" w:fill="F1F1F1" w:themeFill="background1" w:themeFillShade="F2"/>
        <w:spacing w:after="0"/>
        <w:ind w:firstLine="360"/>
        <w:jc w:val="both"/>
        <w:rPr>
          <w:rFonts w:ascii="Times New Roman" w:hAnsi="Times New Roman" w:eastAsia="Times New Roman" w:cs="Times New Roman"/>
          <w:i/>
          <w:sz w:val="28"/>
          <w:szCs w:val="28"/>
          <w:lang w:val="uk-UA" w:eastAsia="ru-RU"/>
        </w:rPr>
      </w:pPr>
      <w:r>
        <w:rPr>
          <w:rFonts w:ascii="Times New Roman" w:hAnsi="Times New Roman" w:eastAsia="Times New Roman" w:cs="Times New Roman"/>
          <w:i/>
          <w:sz w:val="28"/>
          <w:szCs w:val="28"/>
          <w:lang w:eastAsia="ru-RU"/>
        </w:rPr>
        <w:t>Критерії, правила і процедури оцінювання управлінської діяльності директора школи і заступників з НВР</w:t>
      </w:r>
      <w:r>
        <w:rPr>
          <w:rFonts w:ascii="Times New Roman" w:hAnsi="Times New Roman" w:eastAsia="Times New Roman" w:cs="Times New Roman"/>
          <w:i/>
          <w:sz w:val="28"/>
          <w:szCs w:val="28"/>
          <w:lang w:val="uk-UA" w:eastAsia="ru-RU"/>
        </w:rPr>
        <w:t>:</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Формою контролю за діяльністю директора школи та її заступник</w:t>
      </w:r>
      <w:r>
        <w:rPr>
          <w:rFonts w:ascii="Times New Roman" w:hAnsi="Times New Roman" w:eastAsia="Times New Roman" w:cs="Times New Roman"/>
          <w:sz w:val="28"/>
          <w:szCs w:val="28"/>
          <w:lang w:val="uk-UA" w:eastAsia="ru-RU"/>
        </w:rPr>
        <w:t>а</w:t>
      </w:r>
      <w:r>
        <w:rPr>
          <w:rFonts w:ascii="Times New Roman" w:hAnsi="Times New Roman" w:eastAsia="Times New Roman" w:cs="Times New Roman"/>
          <w:sz w:val="28"/>
          <w:szCs w:val="28"/>
          <w:lang w:eastAsia="ru-RU"/>
        </w:rPr>
        <w:t xml:space="preserve"> з навчально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виховної роботи є атестація.</w:t>
      </w:r>
    </w:p>
    <w:p>
      <w:pPr>
        <w:spacing w:after="0"/>
        <w:ind w:firstLine="36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Ефективність управлінської діяльності директора і заступників під час атестації визначається за критеріями:</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саморозвиток та самовдосконалення керівної особи у сфері управлінської діяльності;</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стратегічне планування базується на положеннях концепції розвитку школи, висновках аналізу та самоаналізу результатів діяльності;</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річне планування формується на стратегічних засадах розвитку закладу;</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здійснення аналізу і оцінки ефективності реалізації планів, проектів;</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забезпечення професійного розвитку вчителів, методичного супроводу молодих спеціалістів;</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поширення позитивної інформації про заклад;</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створення повноцінних умов функціонування закладу (безпечні та гігієнічні);</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застосування ІКТ-технологій у освітньому процесі;</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забезпечення якості освіти через взаємодію всіх учасників освітнього процесу;</w:t>
      </w:r>
    </w:p>
    <w:p>
      <w:pPr>
        <w:pStyle w:val="26"/>
        <w:numPr>
          <w:ilvl w:val="0"/>
          <w:numId w:val="26"/>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позитивна оцінка компетентності керівної особи з боку працівників.</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Ділові та особистісні якості керівної особи визначаються за</w:t>
      </w:r>
    </w:p>
    <w:p>
      <w:pPr>
        <w:shd w:val="clear" w:color="auto" w:fill="F1F1F1" w:themeFill="background1" w:themeFillShade="F2"/>
        <w:spacing w:after="0"/>
        <w:jc w:val="both"/>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критеріями:</w:t>
      </w:r>
    </w:p>
    <w:p>
      <w:pPr>
        <w:pStyle w:val="26"/>
        <w:numPr>
          <w:ilvl w:val="0"/>
          <w:numId w:val="2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цілеспрямованість та саморозвиток;</w:t>
      </w:r>
    </w:p>
    <w:p>
      <w:pPr>
        <w:pStyle w:val="26"/>
        <w:numPr>
          <w:ilvl w:val="0"/>
          <w:numId w:val="2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компетентність;</w:t>
      </w:r>
    </w:p>
    <w:p>
      <w:pPr>
        <w:pStyle w:val="26"/>
        <w:numPr>
          <w:ilvl w:val="0"/>
          <w:numId w:val="2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динамічність та самокритичність;</w:t>
      </w:r>
    </w:p>
    <w:p>
      <w:pPr>
        <w:pStyle w:val="26"/>
        <w:numPr>
          <w:ilvl w:val="0"/>
          <w:numId w:val="2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управлінська етика;</w:t>
      </w:r>
    </w:p>
    <w:p>
      <w:pPr>
        <w:pStyle w:val="26"/>
        <w:numPr>
          <w:ilvl w:val="0"/>
          <w:numId w:val="2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прогностичність та аналітичність;</w:t>
      </w:r>
    </w:p>
    <w:p>
      <w:pPr>
        <w:pStyle w:val="26"/>
        <w:numPr>
          <w:ilvl w:val="0"/>
          <w:numId w:val="2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креативність, здатність до інноваційного пошуку;</w:t>
      </w:r>
    </w:p>
    <w:p>
      <w:pPr>
        <w:pStyle w:val="26"/>
        <w:numPr>
          <w:ilvl w:val="0"/>
          <w:numId w:val="27"/>
        </w:numPr>
        <w:spacing w:after="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здатність приймати своєчасне рішення та брати на себе відповідальність за результат діяльності.</w:t>
      </w:r>
    </w:p>
    <w:p>
      <w:pPr>
        <w:spacing w:after="0"/>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Інформаційна система для ефективного управління закладом</w:t>
      </w:r>
    </w:p>
    <w:p>
      <w:pPr>
        <w:spacing w:after="0"/>
        <w:ind w:firstLine="709"/>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Заходи, спрямовані на забезпечення інформатизації освіти, задоволення освітніх інформаційних і комунікаційних потреб учасників навчально-виховного процесу, передбачають:</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формування та впровадження інформаційного освітнього середовища в системі загальної середньої, позашкільної, професійно-технічної, вищої та післядипломної освіти, застосування в навчально-виховному процесі та бібліотечній справі поряд із традиційними засобами інформаційно-комунікаційних технологій;</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розроблення індивідуальних модульних навчальних програм різних рівнів складності залежно від конкретних потреб;</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створення інформаційної системи підтримки освітнього процесу, спрямованої на здійснення її основних функцій (забезпечення навчання, соціалізація, внутрішній контроль за виконанням освітніх стандартів тощо);</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повне забезпечення навчального закладу комп'ютерними комплексами, мультимедійним обладнанням;</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оновлення застарілого парку комп'ютерної техніки;</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створення електронних підручників та енциклопедій навчального призначення;</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поступове забезпечення спеціальних навчальних закладів (груп, класів) корекційними комп'ютерними програмами;</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розвиток мережі електронних бібліотек на всіх рівнях освіти;</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створення системи дистанційного навчання, у тому числі для осіб з особливими освітніми потребами та дітей, які перебувають на довготривалому лікуванні;</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забезпечення навчально-виховного процесу засобами інформаційно-комунікаційних технологій, а також доступу навчальних закладів до світових інформаційних ресурсів;</w:t>
      </w:r>
    </w:p>
    <w:p>
      <w:pPr>
        <w:numPr>
          <w:ilvl w:val="0"/>
          <w:numId w:val="28"/>
        </w:numPr>
        <w:spacing w:after="0"/>
        <w:jc w:val="both"/>
        <w:rPr>
          <w:rFonts w:ascii="Times New Roman" w:hAnsi="Times New Roman" w:cs="Times New Roman"/>
          <w:sz w:val="28"/>
          <w:szCs w:val="28"/>
          <w:lang w:val="uk-UA" w:eastAsia="uk-UA"/>
        </w:rPr>
      </w:pPr>
      <w:r>
        <w:rPr>
          <w:rFonts w:ascii="Times New Roman" w:hAnsi="Times New Roman" w:cs="Times New Roman"/>
          <w:sz w:val="28"/>
          <w:szCs w:val="28"/>
          <w:lang w:val="uk-UA" w:eastAsia="uk-UA"/>
        </w:rPr>
        <w:t>створення системи інформаційно-аналітичного забезпечення у сфері управління навчальними закладами, інформаційно-технологічного забезпечення проведення моніторингу освіти».</w:t>
      </w:r>
    </w:p>
    <w:p>
      <w:pPr>
        <w:pStyle w:val="15"/>
        <w:spacing w:line="276" w:lineRule="auto"/>
        <w:ind w:left="360" w:firstLine="348"/>
        <w:jc w:val="both"/>
      </w:pPr>
      <w:r>
        <w:t xml:space="preserve">Перехід людства до інформаційного суспільства характеризується зростанням різного роду інформації та бурхливим ростом інформаційних потоків. </w:t>
      </w:r>
    </w:p>
    <w:p>
      <w:pPr>
        <w:pStyle w:val="15"/>
        <w:spacing w:line="276" w:lineRule="auto"/>
        <w:ind w:left="720" w:firstLine="0"/>
        <w:jc w:val="center"/>
      </w:pPr>
      <w:r>
        <w:rPr>
          <w:b/>
          <w:bCs/>
          <w:i/>
          <w:iCs/>
          <w:u w:val="single"/>
        </w:rPr>
        <w:t>Вимоги до управлінської інформації.</w:t>
      </w:r>
    </w:p>
    <w:p>
      <w:pPr>
        <w:pStyle w:val="15"/>
        <w:spacing w:line="276" w:lineRule="auto"/>
        <w:ind w:firstLine="709"/>
        <w:jc w:val="both"/>
        <w:rPr>
          <w:bCs/>
          <w:iCs/>
        </w:rPr>
      </w:pPr>
      <w:r>
        <w:rPr>
          <w:bCs/>
          <w:iCs/>
        </w:rPr>
        <w:t>Законом України «Про інформацію» визначено основні принципи інформаційних відносин:</w:t>
      </w:r>
    </w:p>
    <w:p>
      <w:pPr>
        <w:pStyle w:val="15"/>
        <w:spacing w:line="276" w:lineRule="auto"/>
        <w:ind w:left="360" w:firstLine="0"/>
        <w:jc w:val="both"/>
        <w:rPr>
          <w:bCs/>
          <w:iCs/>
        </w:rPr>
      </w:pPr>
      <w:r>
        <w:rPr>
          <w:bCs/>
          <w:iCs/>
        </w:rPr>
        <w:t>а) гарантованість права на інформацію;</w:t>
      </w:r>
    </w:p>
    <w:p>
      <w:pPr>
        <w:pStyle w:val="15"/>
        <w:spacing w:line="276" w:lineRule="auto"/>
        <w:ind w:left="360" w:firstLine="0"/>
        <w:jc w:val="both"/>
        <w:rPr>
          <w:bCs/>
          <w:iCs/>
        </w:rPr>
      </w:pPr>
      <w:r>
        <w:rPr>
          <w:bCs/>
          <w:iCs/>
        </w:rPr>
        <w:t>б) повнота і точність інформації;</w:t>
      </w:r>
    </w:p>
    <w:p>
      <w:pPr>
        <w:pStyle w:val="15"/>
        <w:spacing w:line="276" w:lineRule="auto"/>
        <w:ind w:left="360" w:firstLine="0"/>
        <w:jc w:val="both"/>
        <w:rPr>
          <w:bCs/>
          <w:iCs/>
        </w:rPr>
      </w:pPr>
      <w:r>
        <w:rPr>
          <w:bCs/>
          <w:iCs/>
        </w:rPr>
        <w:t>в) доступність інформації та свобода обміну нею;</w:t>
      </w:r>
    </w:p>
    <w:p>
      <w:pPr>
        <w:pStyle w:val="15"/>
        <w:spacing w:line="276" w:lineRule="auto"/>
        <w:ind w:left="360" w:firstLine="0"/>
        <w:jc w:val="both"/>
        <w:rPr>
          <w:bCs/>
          <w:iCs/>
        </w:rPr>
      </w:pPr>
      <w:r>
        <w:rPr>
          <w:bCs/>
          <w:iCs/>
        </w:rPr>
        <w:t>г) об’єктивність, вірогідність інформації;</w:t>
      </w:r>
    </w:p>
    <w:p>
      <w:pPr>
        <w:pStyle w:val="15"/>
        <w:spacing w:line="276" w:lineRule="auto"/>
        <w:ind w:left="360" w:firstLine="0"/>
        <w:jc w:val="both"/>
        <w:rPr>
          <w:bCs/>
          <w:iCs/>
        </w:rPr>
      </w:pPr>
      <w:r>
        <w:rPr>
          <w:bCs/>
          <w:iCs/>
        </w:rPr>
        <w:t>д) законність отримання, використання, поширення і зберігання інформації.</w:t>
      </w:r>
    </w:p>
    <w:p>
      <w:pPr>
        <w:pStyle w:val="15"/>
        <w:spacing w:line="276" w:lineRule="auto"/>
        <w:ind w:firstLine="709"/>
        <w:jc w:val="both"/>
      </w:pPr>
      <w:r>
        <w:t>Виходячи з основних принципів інформаційних відносин, вимоги до управлінської інформації такі:</w:t>
      </w:r>
    </w:p>
    <w:p>
      <w:pPr>
        <w:pStyle w:val="15"/>
        <w:numPr>
          <w:ilvl w:val="0"/>
          <w:numId w:val="29"/>
        </w:numPr>
        <w:spacing w:line="276" w:lineRule="auto"/>
        <w:jc w:val="both"/>
      </w:pPr>
      <w:r>
        <w:rPr>
          <w:u w:val="single"/>
        </w:rPr>
        <w:t>Об’єктивність і достовірність</w:t>
      </w:r>
      <w:r>
        <w:t xml:space="preserve"> (точно відображає стан справ у школі, кількісні і якісні характеристики навчально-виховного процесу). Об’єктивністю і достовірністю інформації визначається її надійність, інакше вона перетворюється у дезінформацію.</w:t>
      </w:r>
    </w:p>
    <w:p>
      <w:pPr>
        <w:pStyle w:val="15"/>
        <w:numPr>
          <w:ilvl w:val="0"/>
          <w:numId w:val="29"/>
        </w:numPr>
        <w:spacing w:line="276" w:lineRule="auto"/>
        <w:jc w:val="both"/>
      </w:pPr>
      <w:r>
        <w:rPr>
          <w:u w:val="single"/>
        </w:rPr>
        <w:t>Достатність, або мінімальна повнота</w:t>
      </w:r>
      <w:r>
        <w:t xml:space="preserve">. Дуже складно визначити обсяг і кількість інформації. Брак інформації – інформаційний вакуум, а надмір – інформаційний шум, який заважає оперативному і компетентному управлінню. Брак вносить суб’єктивізм в управління, надмір ускладнює оброблення, призводить до перевантажень і формалізації. </w:t>
      </w:r>
    </w:p>
    <w:p>
      <w:pPr>
        <w:pStyle w:val="15"/>
        <w:numPr>
          <w:ilvl w:val="0"/>
          <w:numId w:val="29"/>
        </w:numPr>
        <w:spacing w:line="276" w:lineRule="auto"/>
        <w:jc w:val="both"/>
      </w:pPr>
      <w:r>
        <w:rPr>
          <w:u w:val="single"/>
        </w:rPr>
        <w:t>Оперативність і своєчасність</w:t>
      </w:r>
      <w:r>
        <w:t>. Висока оперативність передавання інформації пов’язана з необхідністю оперативного та своєчасного прийняття рішення. Надходження інформації до керівника має відбуватися з такою періодичністю, яка відповідає реальним подіям. Своєчасність надходження інформації суттєво впливає на цінність рішення, яке приймається, і навпаки.</w:t>
      </w:r>
    </w:p>
    <w:p>
      <w:pPr>
        <w:pStyle w:val="15"/>
        <w:numPr>
          <w:ilvl w:val="0"/>
          <w:numId w:val="29"/>
        </w:numPr>
        <w:spacing w:line="276" w:lineRule="auto"/>
        <w:jc w:val="both"/>
      </w:pPr>
      <w:r>
        <w:rPr>
          <w:u w:val="single"/>
        </w:rPr>
        <w:t>Гранична конкретність, лаконічність</w:t>
      </w:r>
      <w:r>
        <w:t>. Інформація має бути такою, що легко засвоюється. До неї має входити значеннєвий фактологічний матеріал, якнайкраще підготовлений до аналітичного оброблення.</w:t>
      </w:r>
    </w:p>
    <w:p>
      <w:pPr>
        <w:spacing w:after="0"/>
        <w:ind w:firstLine="360"/>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Також роботу інформаційної системи школи забезпечує наявність необмеженого доступу до мережі Інтернет для учнів та педагогічних працівників (в тому числі через сервіс </w:t>
      </w:r>
      <w:r>
        <w:rPr>
          <w:rFonts w:ascii="Times New Roman" w:hAnsi="Times New Roman" w:eastAsia="Times New Roman" w:cs="Times New Roman"/>
          <w:sz w:val="28"/>
          <w:szCs w:val="28"/>
          <w:lang w:eastAsia="ru-RU"/>
        </w:rPr>
        <w:t>Wi</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Fi</w:t>
      </w:r>
      <w:r>
        <w:rPr>
          <w:rFonts w:ascii="Times New Roman" w:hAnsi="Times New Roman" w:eastAsia="Times New Roman" w:cs="Times New Roman"/>
          <w:sz w:val="28"/>
          <w:szCs w:val="28"/>
          <w:lang w:val="uk-UA" w:eastAsia="ru-RU"/>
        </w:rPr>
        <w:t xml:space="preserve">), локальної комп’ютерної мережі, внутрішнього електронного документообігу. Значне місце в управлінні закладом відіграє офіційний сайт закладу та </w:t>
      </w:r>
      <w:r>
        <w:rPr>
          <w:rFonts w:ascii="Times New Roman" w:hAnsi="Times New Roman" w:eastAsia="Times New Roman" w:cs="Times New Roman"/>
          <w:sz w:val="28"/>
          <w:szCs w:val="28"/>
          <w:lang w:eastAsia="ru-RU"/>
        </w:rPr>
        <w:t>facebook</w:t>
      </w:r>
      <w:r>
        <w:rPr>
          <w:rFonts w:ascii="Times New Roman" w:hAnsi="Times New Roman" w:eastAsia="Times New Roman" w:cs="Times New Roman"/>
          <w:sz w:val="28"/>
          <w:szCs w:val="28"/>
          <w:lang w:val="uk-UA" w:eastAsia="ru-RU"/>
        </w:rPr>
        <w:t xml:space="preserve"> - сторінка.</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Оперативному внутрішньому спілкуванню сприяє створення групи у вайбері.</w:t>
      </w: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jc w:val="both"/>
        <w:rPr>
          <w:rFonts w:ascii="Times New Roman" w:hAnsi="Times New Roman" w:eastAsia="Times New Roman" w:cs="Times New Roman"/>
          <w:sz w:val="28"/>
          <w:szCs w:val="28"/>
          <w:lang w:val="uk-UA" w:eastAsia="ru-RU"/>
        </w:rPr>
      </w:pPr>
    </w:p>
    <w:p>
      <w:pPr>
        <w:spacing w:after="0"/>
        <w:ind w:firstLine="1121" w:firstLineChars="350"/>
        <w:rPr>
          <w:rFonts w:ascii="Times New Roman" w:hAnsi="Times New Roman" w:eastAsia="Times New Roman" w:cs="Times New Roman"/>
          <w:b/>
          <w:i/>
          <w:sz w:val="32"/>
          <w:szCs w:val="32"/>
          <w:u w:val="single"/>
          <w:lang w:val="uk-UA" w:eastAsia="ru-RU"/>
        </w:rPr>
      </w:pPr>
      <w:r>
        <w:rPr>
          <w:rFonts w:ascii="Times New Roman" w:hAnsi="Times New Roman" w:eastAsia="Times New Roman" w:cs="Times New Roman"/>
          <w:b/>
          <w:i/>
          <w:sz w:val="32"/>
          <w:szCs w:val="32"/>
          <w:u w:val="single"/>
          <w:lang w:eastAsia="ru-RU"/>
        </w:rPr>
        <w:t>Блок V</w:t>
      </w:r>
      <w:r>
        <w:rPr>
          <w:rFonts w:ascii="Times New Roman" w:hAnsi="Times New Roman" w:eastAsia="Times New Roman" w:cs="Times New Roman"/>
          <w:b/>
          <w:i/>
          <w:sz w:val="32"/>
          <w:szCs w:val="32"/>
          <w:u w:val="single"/>
          <w:lang w:val="uk-UA" w:eastAsia="ru-RU"/>
        </w:rPr>
        <w:t xml:space="preserve">.  </w:t>
      </w:r>
      <w:r>
        <w:rPr>
          <w:rFonts w:ascii="Times New Roman" w:hAnsi="Times New Roman" w:eastAsia="Times New Roman" w:cs="Times New Roman"/>
          <w:b/>
          <w:i/>
          <w:sz w:val="32"/>
          <w:szCs w:val="32"/>
          <w:u w:val="single"/>
          <w:lang w:eastAsia="ru-RU"/>
        </w:rPr>
        <w:t xml:space="preserve"> </w:t>
      </w:r>
      <w:r>
        <w:rPr>
          <w:rFonts w:ascii="Times New Roman" w:hAnsi="Times New Roman" w:eastAsia="Times New Roman" w:cs="Times New Roman"/>
          <w:b/>
          <w:i/>
          <w:sz w:val="32"/>
          <w:szCs w:val="32"/>
          <w:u w:val="single"/>
          <w:lang w:val="uk-UA" w:eastAsia="ru-RU"/>
        </w:rPr>
        <w:t>Педагоічна діяльність закладу освіти.                    «Порядок підвищення кваліфікації  педагогічних працівників»</w:t>
      </w:r>
    </w:p>
    <w:p>
      <w:pPr>
        <w:shd w:val="clear" w:color="auto" w:fill="FFFFFF"/>
        <w:spacing w:after="0"/>
        <w:ind w:firstLine="708"/>
        <w:jc w:val="both"/>
        <w:rPr>
          <w:rFonts w:ascii="Times New Roman" w:hAnsi="Times New Roman" w:cs="Times New Roman"/>
          <w:sz w:val="28"/>
          <w:szCs w:val="28"/>
          <w:shd w:val="clear" w:color="auto" w:fill="FFFFFF"/>
          <w:lang w:val="uk-UA"/>
        </w:rPr>
      </w:pPr>
      <w:bookmarkStart w:id="9" w:name="n10"/>
      <w:bookmarkEnd w:id="9"/>
      <w:r>
        <w:rPr>
          <w:rFonts w:ascii="Times New Roman" w:hAnsi="Times New Roman" w:eastAsia="Times New Roman" w:cs="Times New Roman"/>
          <w:sz w:val="28"/>
          <w:szCs w:val="28"/>
          <w:lang w:val="uk-UA" w:eastAsia="ru-RU"/>
        </w:rPr>
        <w:t>Підвищення кваліфікації педагогічних працівників школи відбувається відповідно до «Порядку підвищення кваліфікації педагогічних і науково-педагогічних працівників» затвердженого постановою КМУ від 21 серпня 2019 року № 800, Постанови КМУ «</w:t>
      </w:r>
      <w:r>
        <w:rPr>
          <w:rFonts w:ascii="Times New Roman" w:hAnsi="Times New Roman" w:eastAsia="Times New Roman" w:cs="Times New Roman"/>
          <w:bCs/>
          <w:sz w:val="28"/>
          <w:szCs w:val="28"/>
          <w:lang w:val="uk-UA" w:eastAsia="ru-RU"/>
        </w:rPr>
        <w:t>Про внесення змін до Порядку підвищення кваліфікації педагогічних і науково-педагогічних працівників» від 27 грудня 2019 року № 1133</w:t>
      </w:r>
      <w:r>
        <w:rPr>
          <w:rFonts w:ascii="Arial" w:hAnsi="Arial" w:cs="Arial"/>
          <w:color w:val="686868"/>
          <w:sz w:val="21"/>
          <w:szCs w:val="21"/>
          <w:shd w:val="clear" w:color="auto" w:fill="FFFFFF"/>
          <w:lang w:val="uk-UA"/>
        </w:rPr>
        <w:t xml:space="preserve"> </w:t>
      </w:r>
      <w:r>
        <w:rPr>
          <w:rFonts w:ascii="Times New Roman" w:hAnsi="Times New Roman" w:cs="Times New Roman"/>
          <w:sz w:val="28"/>
          <w:szCs w:val="28"/>
          <w:shd w:val="clear" w:color="auto" w:fill="FFFFFF"/>
          <w:lang w:val="uk-UA"/>
        </w:rPr>
        <w:t xml:space="preserve">на законодавстві України «Про загальну середню освіту», базується на </w:t>
      </w:r>
      <w:r>
        <w:fldChar w:fldCharType="begin"/>
      </w:r>
      <w:r>
        <w:instrText xml:space="preserve"> HYPERLINK "https://zakon.help/law/254%D0%BA/96-%D0%B2%D1%80" \t "_blank" </w:instrText>
      </w:r>
      <w:r>
        <w:fldChar w:fldCharType="separate"/>
      </w:r>
      <w:r>
        <w:rPr>
          <w:rStyle w:val="10"/>
          <w:rFonts w:ascii="Times New Roman" w:hAnsi="Times New Roman" w:cs="Times New Roman"/>
          <w:color w:val="auto"/>
          <w:sz w:val="28"/>
          <w:szCs w:val="28"/>
          <w:u w:val="none"/>
          <w:shd w:val="clear" w:color="auto" w:fill="FFFFFF"/>
          <w:lang w:val="uk-UA"/>
        </w:rPr>
        <w:t>Конституції України</w:t>
      </w:r>
      <w:r>
        <w:rPr>
          <w:rStyle w:val="10"/>
          <w:rFonts w:ascii="Times New Roman" w:hAnsi="Times New Roman" w:cs="Times New Roman"/>
          <w:color w:val="auto"/>
          <w:sz w:val="28"/>
          <w:szCs w:val="28"/>
          <w:u w:val="none"/>
          <w:shd w:val="clear" w:color="auto" w:fill="FFFFFF"/>
          <w:lang w:val="uk-UA"/>
        </w:rPr>
        <w:fldChar w:fldCharType="end"/>
      </w:r>
      <w:r>
        <w:rPr>
          <w:rFonts w:ascii="Times New Roman" w:hAnsi="Times New Roman" w:cs="Times New Roman"/>
          <w:sz w:val="28"/>
          <w:szCs w:val="28"/>
          <w:shd w:val="clear" w:color="auto" w:fill="FFFFFF"/>
          <w:lang w:val="uk-UA"/>
        </w:rPr>
        <w:t xml:space="preserve"> і </w:t>
      </w:r>
      <w:r>
        <w:fldChar w:fldCharType="begin"/>
      </w:r>
      <w:r>
        <w:instrText xml:space="preserve"> HYPERLINK "https://zakon.help/law/1060-12" \t "_blank" </w:instrText>
      </w:r>
      <w:r>
        <w:fldChar w:fldCharType="separate"/>
      </w:r>
      <w:r>
        <w:rPr>
          <w:rStyle w:val="10"/>
          <w:rFonts w:ascii="Times New Roman" w:hAnsi="Times New Roman" w:cs="Times New Roman"/>
          <w:color w:val="auto"/>
          <w:sz w:val="28"/>
          <w:szCs w:val="28"/>
          <w:u w:val="none"/>
          <w:shd w:val="clear" w:color="auto" w:fill="FFFFFF"/>
          <w:lang w:val="uk-UA"/>
        </w:rPr>
        <w:t>Законі України</w:t>
      </w:r>
      <w:r>
        <w:rPr>
          <w:rStyle w:val="10"/>
          <w:rFonts w:ascii="Times New Roman" w:hAnsi="Times New Roman" w:cs="Times New Roman"/>
          <w:color w:val="auto"/>
          <w:sz w:val="28"/>
          <w:szCs w:val="28"/>
          <w:u w:val="none"/>
          <w:shd w:val="clear" w:color="auto" w:fill="FFFFFF"/>
          <w:lang w:val="uk-UA"/>
        </w:rPr>
        <w:fldChar w:fldCharType="end"/>
      </w:r>
      <w:r>
        <w:rPr>
          <w:rFonts w:ascii="Times New Roman" w:hAnsi="Times New Roman" w:cs="Times New Roman"/>
          <w:sz w:val="28"/>
          <w:szCs w:val="28"/>
          <w:shd w:val="clear" w:color="auto" w:fill="FFFFFF"/>
          <w:lang w:val="uk-UA"/>
        </w:rPr>
        <w:t xml:space="preserve"> «Про освіту».</w:t>
      </w:r>
      <w:bookmarkStart w:id="10" w:name="n3"/>
      <w:bookmarkEnd w:id="10"/>
    </w:p>
    <w:p>
      <w:pPr>
        <w:shd w:val="clear" w:color="auto" w:fill="FFFFFF"/>
        <w:spacing w:after="0"/>
        <w:ind w:firstLine="709"/>
        <w:jc w:val="both"/>
        <w:rPr>
          <w:rFonts w:ascii="Times New Roman" w:hAnsi="Times New Roman" w:eastAsia="Times New Roman" w:cs="Times New Roman"/>
          <w:sz w:val="28"/>
          <w:szCs w:val="28"/>
          <w:lang w:val="uk-UA" w:eastAsia="ru-RU"/>
        </w:rPr>
      </w:pPr>
      <w:r>
        <w:rPr>
          <w:rFonts w:ascii="Times New Roman" w:hAnsi="Times New Roman" w:cs="Times New Roman"/>
          <w:sz w:val="28"/>
          <w:szCs w:val="28"/>
          <w:lang w:val="uk-UA"/>
        </w:rPr>
        <w:t xml:space="preserve">Відповідно до частини другої статті 54 Закону педагогічні працівники </w:t>
      </w:r>
      <w:r>
        <w:rPr>
          <w:rStyle w:val="11"/>
          <w:rFonts w:ascii="Times New Roman" w:hAnsi="Times New Roman" w:cs="Times New Roman"/>
          <w:sz w:val="28"/>
          <w:szCs w:val="28"/>
          <w:lang w:val="uk-UA"/>
        </w:rPr>
        <w:t>зобов’язані</w:t>
      </w:r>
      <w:r>
        <w:rPr>
          <w:rFonts w:ascii="Times New Roman" w:hAnsi="Times New Roman" w:cs="Times New Roman"/>
          <w:sz w:val="28"/>
          <w:szCs w:val="28"/>
          <w:lang w:val="uk-UA"/>
        </w:rPr>
        <w:t xml:space="preserve"> постійно підвищувати свій професійний і загальнокультурний рівні та педагогічну майстерність. Але такий </w:t>
      </w:r>
      <w:r>
        <w:rPr>
          <w:rStyle w:val="11"/>
          <w:rFonts w:ascii="Times New Roman" w:hAnsi="Times New Roman" w:cs="Times New Roman"/>
          <w:sz w:val="28"/>
          <w:szCs w:val="28"/>
          <w:lang w:val="uk-UA"/>
        </w:rPr>
        <w:t>обов’язок</w:t>
      </w:r>
      <w:r>
        <w:rPr>
          <w:rFonts w:ascii="Times New Roman" w:hAnsi="Times New Roman" w:cs="Times New Roman"/>
          <w:sz w:val="28"/>
          <w:szCs w:val="28"/>
          <w:lang w:val="uk-UA"/>
        </w:rPr>
        <w:t xml:space="preserve"> урівноважується </w:t>
      </w:r>
      <w:r>
        <w:rPr>
          <w:rStyle w:val="11"/>
          <w:rFonts w:ascii="Times New Roman" w:hAnsi="Times New Roman" w:cs="Times New Roman"/>
          <w:sz w:val="28"/>
          <w:szCs w:val="28"/>
          <w:lang w:val="uk-UA"/>
        </w:rPr>
        <w:t xml:space="preserve">правом </w:t>
      </w:r>
      <w:r>
        <w:rPr>
          <w:rFonts w:ascii="Times New Roman" w:hAnsi="Times New Roman" w:cs="Times New Roman"/>
          <w:sz w:val="28"/>
          <w:szCs w:val="28"/>
          <w:lang w:val="uk-UA"/>
        </w:rPr>
        <w:t xml:space="preserve">педагогічних працівників, визначеним у частині першій цієї статті, на </w:t>
      </w:r>
      <w:r>
        <w:rPr>
          <w:rStyle w:val="11"/>
          <w:rFonts w:ascii="Times New Roman" w:hAnsi="Times New Roman" w:cs="Times New Roman"/>
          <w:sz w:val="28"/>
          <w:szCs w:val="28"/>
          <w:lang w:val="uk-UA"/>
        </w:rPr>
        <w:t>вільний вибір</w:t>
      </w:r>
      <w:r>
        <w:rPr>
          <w:rFonts w:ascii="Times New Roman" w:hAnsi="Times New Roman" w:cs="Times New Roman"/>
          <w:sz w:val="28"/>
          <w:szCs w:val="28"/>
          <w:lang w:val="uk-UA"/>
        </w:rPr>
        <w:t xml:space="preserve"> освітніх програм, форм навчання, закладів освіти, установ і організацій, інших суб’єктів освітньої діяльності, що здійснюють підвищення кваліфікації.</w:t>
      </w:r>
    </w:p>
    <w:p>
      <w:pPr>
        <w:pStyle w:val="17"/>
        <w:shd w:val="clear" w:color="auto" w:fill="FFFFFF"/>
        <w:spacing w:before="0" w:beforeAutospacing="0" w:after="0" w:afterAutospacing="0" w:line="276" w:lineRule="auto"/>
        <w:ind w:firstLine="709"/>
        <w:jc w:val="both"/>
        <w:rPr>
          <w:sz w:val="28"/>
          <w:szCs w:val="28"/>
          <w:lang w:val="uk-UA"/>
        </w:rPr>
      </w:pPr>
      <w:r>
        <w:rPr>
          <w:sz w:val="28"/>
          <w:szCs w:val="28"/>
          <w:lang w:val="uk-UA"/>
        </w:rPr>
        <w:t>Пошук інформації щодо підвищення кваліфікації педагогічний працівник може здійснювати у будь-який спосіб - безпосередньо на сайтах суб’єктів підвищення кваліфікації, на різноманітних інформаційних чи спеціальних ресурсах, у тематичних групах, через запит необхідної інформації безпосередньо у суб’єкта підвищення кваліфікації тощо.</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Згідно з частиною першою статті 59 Закону </w:t>
      </w:r>
      <w:r>
        <w:rPr>
          <w:rStyle w:val="11"/>
          <w:sz w:val="28"/>
          <w:szCs w:val="28"/>
          <w:lang w:val="uk-UA"/>
        </w:rPr>
        <w:t>заклад освіти сприяє</w:t>
      </w:r>
      <w:r>
        <w:rPr>
          <w:sz w:val="28"/>
          <w:szCs w:val="28"/>
          <w:lang w:val="uk-UA"/>
        </w:rPr>
        <w:t xml:space="preserve"> професійному розвитку та підвищенню кваліфікації педагогічних працівників. </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К</w:t>
      </w:r>
      <w:r>
        <w:rPr>
          <w:sz w:val="28"/>
          <w:szCs w:val="28"/>
        </w:rPr>
        <w:t>ерівництв</w:t>
      </w:r>
      <w:r>
        <w:rPr>
          <w:sz w:val="28"/>
          <w:szCs w:val="28"/>
          <w:lang w:val="uk-UA"/>
        </w:rPr>
        <w:t xml:space="preserve">о навчального закладу </w:t>
      </w:r>
      <w:r>
        <w:rPr>
          <w:sz w:val="28"/>
          <w:szCs w:val="28"/>
        </w:rPr>
        <w:t>максимально та активно сприя</w:t>
      </w:r>
      <w:r>
        <w:rPr>
          <w:sz w:val="28"/>
          <w:szCs w:val="28"/>
          <w:lang w:val="uk-UA"/>
        </w:rPr>
        <w:t xml:space="preserve">є </w:t>
      </w:r>
      <w:r>
        <w:rPr>
          <w:sz w:val="28"/>
          <w:szCs w:val="28"/>
        </w:rPr>
        <w:t>професійному розвитку та підвищенню кваліфікації педагогічних працівників на засадах, визначених Законом та Законом про ПЗСО, та за процедурами, визначеними Порядком. Активна підтримка педагогічних працівників адміністрацією закладу - роз’яснення нової процедури підвищення кваліфікації, допомога (у разі потреби) у визначенні компетентностей, удосконалення яких педагогічні працівники потребують найбільше, тощо - є запорукою формування педагогіки партнерства в закладі освіти, його сталого розвитку, збереження здорового мікроклімату в колективі, покращення діяльності закладу освіти та якості освіти загалом.</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Відповідно до частини шостої статті 18 Закону підвищення кваліфікації – це </w:t>
      </w:r>
      <w:r>
        <w:rPr>
          <w:rStyle w:val="11"/>
          <w:sz w:val="28"/>
          <w:szCs w:val="28"/>
          <w:lang w:val="uk-UA"/>
        </w:rPr>
        <w:t>набуття особою нових та/або вдосконалення раніше набутих компетентностей</w:t>
      </w:r>
      <w:r>
        <w:rPr>
          <w:sz w:val="28"/>
          <w:szCs w:val="28"/>
          <w:lang w:val="uk-UA"/>
        </w:rPr>
        <w:t xml:space="preserve"> у межах професійної діяльності або галузі знань. </w:t>
      </w:r>
      <w:r>
        <w:rPr>
          <w:sz w:val="28"/>
          <w:szCs w:val="28"/>
        </w:rPr>
        <w:t>Саме тому надзвичайно важливим є те, щоб обрані педагогічним працівником будь-які форми і види підвищення кваліфікації реально призводили до набуття нових та/або вдосконалення наявних компетентностей (знань, вмінь, навичок тощо).</w:t>
      </w:r>
    </w:p>
    <w:p>
      <w:pPr>
        <w:pStyle w:val="17"/>
        <w:shd w:val="clear" w:color="auto" w:fill="FFFFFF"/>
        <w:spacing w:before="0" w:beforeAutospacing="0" w:after="0" w:afterAutospacing="0" w:line="276" w:lineRule="auto"/>
        <w:ind w:firstLine="708"/>
        <w:jc w:val="both"/>
        <w:rPr>
          <w:sz w:val="28"/>
          <w:szCs w:val="28"/>
        </w:rPr>
      </w:pPr>
      <w:r>
        <w:rPr>
          <w:sz w:val="28"/>
          <w:szCs w:val="28"/>
        </w:rPr>
        <w:t>Порядок поширюється на підвищення кваліфікації педагогічних працівників, перелік посад яких затверджено постановою Кабінету Міністрів України від 14 червня 2000 року</w:t>
      </w:r>
      <w:r>
        <w:rPr>
          <w:sz w:val="28"/>
          <w:szCs w:val="28"/>
          <w:lang w:val="uk-UA"/>
        </w:rPr>
        <w:t xml:space="preserve"> </w:t>
      </w:r>
      <w:r>
        <w:fldChar w:fldCharType="begin"/>
      </w:r>
      <w:r>
        <w:instrText xml:space="preserve"> HYPERLINK "https://osvita.ua/legislation/other/2583/" </w:instrText>
      </w:r>
      <w:r>
        <w:fldChar w:fldCharType="separate"/>
      </w:r>
      <w:r>
        <w:rPr>
          <w:rStyle w:val="10"/>
          <w:color w:val="auto"/>
          <w:sz w:val="28"/>
          <w:szCs w:val="28"/>
        </w:rPr>
        <w:t>№ 963</w:t>
      </w:r>
      <w:r>
        <w:rPr>
          <w:rStyle w:val="10"/>
          <w:color w:val="auto"/>
          <w:sz w:val="28"/>
          <w:szCs w:val="28"/>
        </w:rPr>
        <w:fldChar w:fldCharType="end"/>
      </w:r>
      <w:r>
        <w:rPr>
          <w:sz w:val="28"/>
          <w:szCs w:val="28"/>
          <w:lang w:val="uk-UA"/>
        </w:rPr>
        <w:t xml:space="preserve"> </w:t>
      </w:r>
      <w:r>
        <w:rPr>
          <w:sz w:val="28"/>
          <w:szCs w:val="28"/>
        </w:rPr>
        <w:t>(зі змінами).</w:t>
      </w:r>
    </w:p>
    <w:p>
      <w:pPr>
        <w:pStyle w:val="17"/>
        <w:shd w:val="clear" w:color="auto" w:fill="BEBEBE" w:themeFill="background1" w:themeFillShade="BF"/>
        <w:spacing w:before="0" w:beforeAutospacing="0" w:after="0" w:afterAutospacing="0" w:line="276" w:lineRule="auto"/>
        <w:jc w:val="center"/>
        <w:rPr>
          <w:sz w:val="28"/>
          <w:szCs w:val="28"/>
        </w:rPr>
      </w:pPr>
      <w:r>
        <w:rPr>
          <w:rStyle w:val="11"/>
          <w:sz w:val="28"/>
          <w:szCs w:val="28"/>
        </w:rPr>
        <w:t>Форми і види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rPr>
        <w:t>Закон (частина друга статті 59) і Порядок (пункт 6) надають можливість організовувати і забезпечувати підвищення кваліфікації у будь-яких формах і видах.</w:t>
      </w:r>
    </w:p>
    <w:p>
      <w:pPr>
        <w:pStyle w:val="17"/>
        <w:shd w:val="clear" w:color="auto" w:fill="FFFFFF"/>
        <w:spacing w:before="0" w:beforeAutospacing="0" w:after="0" w:afterAutospacing="0" w:line="276" w:lineRule="auto"/>
        <w:ind w:firstLine="708"/>
        <w:jc w:val="both"/>
        <w:rPr>
          <w:sz w:val="28"/>
          <w:szCs w:val="28"/>
          <w:lang w:val="uk-UA"/>
        </w:rPr>
      </w:pPr>
      <w:r>
        <w:rPr>
          <w:rStyle w:val="11"/>
          <w:sz w:val="28"/>
          <w:szCs w:val="28"/>
          <w:lang w:val="uk-UA"/>
        </w:rPr>
        <w:t>Формами підвищення кваліфікації є</w:t>
      </w:r>
      <w:r>
        <w:rPr>
          <w:sz w:val="28"/>
          <w:szCs w:val="28"/>
          <w:lang w:val="uk-UA"/>
        </w:rPr>
        <w:t xml:space="preserve">, на робочому місці, на виробництві тощо. Крім того, форми підвищення кваліфікації можуть поєднуватись. Відповідно до пункту 6 Порядку </w:t>
      </w:r>
      <w:r>
        <w:rPr>
          <w:rStyle w:val="11"/>
          <w:sz w:val="28"/>
          <w:szCs w:val="28"/>
          <w:lang w:val="uk-UA"/>
        </w:rPr>
        <w:t>основними видами підвищення кваліфікації</w:t>
      </w:r>
      <w:r>
        <w:rPr>
          <w:sz w:val="28"/>
          <w:szCs w:val="28"/>
          <w:lang w:val="uk-UA"/>
        </w:rPr>
        <w:t xml:space="preserve"> є навчання за програмою підвищення кваліфікації (у тому числі участь у семінарах, практикумах, тренінгах, вебінарах, майстер-класах тощо), а також стажування. При цьому основним видом Підвищення кваліфікації педагогічних працівників є «навчання за програмою підвищення кваліфікації». Також відповідно до пункту 9 Порядку педагогічні працівники можуть підвищувати кваліфікацію у </w:t>
      </w:r>
      <w:r>
        <w:rPr>
          <w:rStyle w:val="11"/>
          <w:sz w:val="28"/>
          <w:szCs w:val="28"/>
          <w:lang w:val="uk-UA"/>
        </w:rPr>
        <w:t>різних</w:t>
      </w:r>
      <w:r>
        <w:rPr>
          <w:sz w:val="28"/>
          <w:szCs w:val="28"/>
          <w:lang w:val="uk-UA"/>
        </w:rPr>
        <w:t xml:space="preserve"> суб'єктів підвищення кваліфікації. Таким чином, педагогічні працівники мають можливість поєднувати не лише форми підвищення кваліфікації, а й підвищувати кваліфікацію у різних суб'єктів.</w:t>
      </w:r>
    </w:p>
    <w:p>
      <w:pPr>
        <w:pStyle w:val="17"/>
        <w:shd w:val="clear" w:color="auto" w:fill="FFFFFF"/>
        <w:spacing w:before="0" w:beforeAutospacing="0" w:after="0" w:afterAutospacing="0" w:line="276" w:lineRule="auto"/>
        <w:jc w:val="both"/>
        <w:rPr>
          <w:sz w:val="28"/>
          <w:szCs w:val="28"/>
        </w:rPr>
      </w:pPr>
      <w:r>
        <w:rPr>
          <w:sz w:val="28"/>
          <w:szCs w:val="28"/>
        </w:rPr>
        <w:t>У пункті 15 Порядку визначено, що</w:t>
      </w:r>
      <w:r>
        <w:rPr>
          <w:sz w:val="28"/>
          <w:szCs w:val="28"/>
          <w:lang w:val="uk-UA"/>
        </w:rPr>
        <w:t xml:space="preserve"> </w:t>
      </w:r>
      <w:r>
        <w:rPr>
          <w:rStyle w:val="11"/>
          <w:sz w:val="28"/>
          <w:szCs w:val="28"/>
        </w:rPr>
        <w:t>основними напрямами</w:t>
      </w:r>
      <w:r>
        <w:rPr>
          <w:sz w:val="28"/>
          <w:szCs w:val="28"/>
          <w:lang w:val="uk-UA"/>
        </w:rPr>
        <w:t xml:space="preserve"> </w:t>
      </w:r>
      <w:r>
        <w:rPr>
          <w:sz w:val="28"/>
          <w:szCs w:val="28"/>
        </w:rPr>
        <w:t>підвищення кваліфікації на сьогодні можуть бути:</w:t>
      </w:r>
    </w:p>
    <w:p>
      <w:pPr>
        <w:numPr>
          <w:ilvl w:val="0"/>
          <w:numId w:val="30"/>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розвиток професійних компетентностей (знання навчального предмета, фахових методик, технологій);</w:t>
      </w:r>
    </w:p>
    <w:p>
      <w:pPr>
        <w:numPr>
          <w:ilvl w:val="0"/>
          <w:numId w:val="30"/>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формування у здобувачів освіти спільних для ключових компетентностей вмінь, визначених частиною першою статті 12</w:t>
      </w:r>
      <w:r>
        <w:rPr>
          <w:rFonts w:ascii="Times New Roman" w:hAnsi="Times New Roman" w:cs="Times New Roman"/>
          <w:sz w:val="28"/>
          <w:szCs w:val="28"/>
          <w:lang w:val="uk-UA"/>
        </w:rPr>
        <w:t xml:space="preserve"> </w:t>
      </w:r>
      <w:r>
        <w:fldChar w:fldCharType="begin"/>
      </w:r>
      <w:r>
        <w:instrText xml:space="preserve"> HYPERLINK "https://osvita.ua/legislation/law/2231/" </w:instrText>
      </w:r>
      <w:r>
        <w:fldChar w:fldCharType="separate"/>
      </w:r>
      <w:r>
        <w:rPr>
          <w:rStyle w:val="10"/>
          <w:rFonts w:ascii="Times New Roman" w:hAnsi="Times New Roman" w:cs="Times New Roman"/>
          <w:color w:val="auto"/>
          <w:sz w:val="28"/>
          <w:szCs w:val="28"/>
        </w:rPr>
        <w:t>Закону України «Про освіту»;</w:t>
      </w:r>
      <w:r>
        <w:rPr>
          <w:rStyle w:val="10"/>
          <w:rFonts w:ascii="Times New Roman" w:hAnsi="Times New Roman" w:cs="Times New Roman"/>
          <w:color w:val="auto"/>
          <w:sz w:val="28"/>
          <w:szCs w:val="28"/>
        </w:rPr>
        <w:fldChar w:fldCharType="end"/>
      </w:r>
    </w:p>
    <w:p>
      <w:pPr>
        <w:numPr>
          <w:ilvl w:val="0"/>
          <w:numId w:val="30"/>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психолого-фізіологічні особливості здобувачів освіти певного віку, основи андрагогіки;</w:t>
      </w:r>
    </w:p>
    <w:p>
      <w:pPr>
        <w:numPr>
          <w:ilvl w:val="0"/>
          <w:numId w:val="30"/>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створення безпечного та інклюзивного освітнього середовища, особливості (специфіка) інклюзивного навчання, забезпечення додаткової підтримки в освітньому процесі дітей з особливими освітніми потребами (до таких дітей, зокрема, можуть бути віднесені діти з інвалідністю, обдаровані діти, діти з національних меншин, діти, які не встигають опанувати навчальну програму з різних причин тощо);</w:t>
      </w:r>
    </w:p>
    <w:p>
      <w:pPr>
        <w:numPr>
          <w:ilvl w:val="0"/>
          <w:numId w:val="30"/>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використання інформаційно-комунікативних та цифрових технологій в освітньому процесі, включаючи електронне навчання, інформаційну та кібернетичну безпеку;</w:t>
      </w:r>
    </w:p>
    <w:p>
      <w:pPr>
        <w:numPr>
          <w:ilvl w:val="0"/>
          <w:numId w:val="30"/>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мовленнєва, цифрова, комунікаційна, інклюзивна, емоційно-етична компетентність;</w:t>
      </w:r>
    </w:p>
    <w:p>
      <w:pPr>
        <w:numPr>
          <w:ilvl w:val="0"/>
          <w:numId w:val="30"/>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розвиток управлінської компетентності (для керівників закладів освіти та їх заступників)</w:t>
      </w:r>
      <w:r>
        <w:rPr>
          <w:rFonts w:ascii="Times New Roman" w:hAnsi="Times New Roman" w:cs="Times New Roman"/>
          <w:sz w:val="28"/>
          <w:szCs w:val="28"/>
          <w:lang w:val="uk-UA"/>
        </w:rPr>
        <w:t xml:space="preserve"> </w:t>
      </w:r>
      <w:r>
        <w:rPr>
          <w:rStyle w:val="11"/>
          <w:rFonts w:ascii="Times New Roman" w:hAnsi="Times New Roman" w:cs="Times New Roman"/>
          <w:sz w:val="28"/>
          <w:szCs w:val="28"/>
        </w:rPr>
        <w:t>тощо</w:t>
      </w:r>
      <w:r>
        <w:rPr>
          <w:rFonts w:ascii="Times New Roman" w:hAnsi="Times New Roman" w:cs="Times New Roman"/>
          <w:sz w:val="28"/>
          <w:szCs w:val="28"/>
        </w:rPr>
        <w:t>.</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При цьому слова «основні напрями» і «тощо» означають, що це не виключний перелік напрямів підвищення кваліфікації і компетентностей, на вдосконалення яких може бути спрямоване підвищення кваліфікації. Ніхто не може заборонити педагогічному працівникові чи обмежити його право «вільно обирати» будь-які програми підвищення кваліфікації чи їх складові (модулі тощо), форми і види підвищення кваліфікації, а також вільно обирати суб'єкта підвищення кваліфікації. Педагогічним працівникам слід робити усвідомлений вибір напряму (напрямів) підвищення кваліфікації за результатами самооцінювання власних фахових і загальних компетентностей і педагогічної майстерності. </w:t>
      </w:r>
      <w:r>
        <w:rPr>
          <w:sz w:val="28"/>
          <w:szCs w:val="28"/>
        </w:rPr>
        <w:t xml:space="preserve">Таке самооцінювання </w:t>
      </w:r>
      <w:r>
        <w:rPr>
          <w:sz w:val="28"/>
          <w:szCs w:val="28"/>
          <w:lang w:val="uk-UA"/>
        </w:rPr>
        <w:t xml:space="preserve">є </w:t>
      </w:r>
      <w:r>
        <w:rPr>
          <w:sz w:val="28"/>
          <w:szCs w:val="28"/>
        </w:rPr>
        <w:t>винятково особистою справою педагогічного працівника, не потребує розроблення будь-яких документів, письмового обгрунтування, звітів тощо.</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Варто знати, що чинне законодавство до загальних компетентностей відносить соціальні, комунікативні, особистісні, екологічні, етичні тощо (наприклад, володіти професійною термінологією; діяти в нестандартних ситуаціях; працювати в команді; дотримуватися професійної етики; запобігати конфліктним ситуаціям тощо)¹.</w:t>
      </w:r>
    </w:p>
    <w:p>
      <w:pPr>
        <w:pStyle w:val="17"/>
        <w:shd w:val="clear" w:color="auto" w:fill="FFFFFF"/>
        <w:spacing w:before="0" w:beforeAutospacing="0" w:after="0" w:afterAutospacing="0" w:line="276" w:lineRule="auto"/>
        <w:jc w:val="both"/>
        <w:rPr>
          <w:sz w:val="28"/>
          <w:szCs w:val="28"/>
          <w:lang w:val="uk-UA"/>
        </w:rPr>
      </w:pPr>
      <w:r>
        <w:rPr>
          <w:sz w:val="28"/>
          <w:szCs w:val="28"/>
          <w:lang w:val="uk-UA"/>
        </w:rPr>
        <w:t>Потреба педагогічного працівника у здобутті нових чи поглибленні здобутих раніше компетентностей може бути пов’язана з реальною ситуацією в закладі освіти (наприклад, наявність в класі/школі дітей різного етнічного та/або соціального походження, велика кількість біженців, які не володіють на достатньому рівні державною мовою, поширеність випадків булінгу (цькування), зарахування до класу дитини з інвалідністю тощо). Така потреба може ґрунтуватися і на необхідності виконувати нові обов’язки педагогічного працівника, що визначені Законами України «</w:t>
      </w:r>
      <w:r>
        <w:fldChar w:fldCharType="begin"/>
      </w:r>
      <w:r>
        <w:instrText xml:space="preserve"> HYPERLINK "https://osvita.ua/legislation/law/2231/" </w:instrText>
      </w:r>
      <w:r>
        <w:fldChar w:fldCharType="separate"/>
      </w:r>
      <w:r>
        <w:rPr>
          <w:rStyle w:val="10"/>
          <w:color w:val="auto"/>
          <w:sz w:val="28"/>
          <w:szCs w:val="28"/>
          <w:lang w:val="uk-UA"/>
        </w:rPr>
        <w:t>Про освіту</w:t>
      </w:r>
      <w:r>
        <w:rPr>
          <w:rStyle w:val="10"/>
          <w:color w:val="auto"/>
          <w:sz w:val="28"/>
          <w:szCs w:val="28"/>
          <w:lang w:val="uk-UA"/>
        </w:rPr>
        <w:fldChar w:fldCharType="end"/>
      </w:r>
      <w:r>
        <w:rPr>
          <w:sz w:val="28"/>
          <w:szCs w:val="28"/>
          <w:lang w:val="uk-UA"/>
        </w:rPr>
        <w:t>» і «</w:t>
      </w:r>
      <w:r>
        <w:fldChar w:fldCharType="begin"/>
      </w:r>
      <w:r>
        <w:instrText xml:space="preserve"> HYPERLINK "https://osvita.ua/legislation/law/2232/" </w:instrText>
      </w:r>
      <w:r>
        <w:fldChar w:fldCharType="separate"/>
      </w:r>
      <w:r>
        <w:rPr>
          <w:rStyle w:val="10"/>
          <w:color w:val="auto"/>
          <w:sz w:val="28"/>
          <w:szCs w:val="28"/>
          <w:lang w:val="uk-UA"/>
        </w:rPr>
        <w:t>Про повну загальну середню освіту</w:t>
      </w:r>
      <w:r>
        <w:rPr>
          <w:rStyle w:val="10"/>
          <w:color w:val="auto"/>
          <w:sz w:val="28"/>
          <w:szCs w:val="28"/>
          <w:lang w:val="uk-UA"/>
        </w:rPr>
        <w:fldChar w:fldCharType="end"/>
      </w:r>
      <w:r>
        <w:rPr>
          <w:sz w:val="28"/>
          <w:szCs w:val="28"/>
          <w:lang w:val="uk-UA"/>
        </w:rPr>
        <w:t>» і стосуються, зокрема, формування педагогіки партнерства, дотримання академічної доброчесності, запобігання та припинення булінгу (цькування), порушення гідності дітей, формування у них культури нетерпимості до проявів дискримінації та корупції, надання дітям домедичної допомоги тощо.</w:t>
      </w:r>
    </w:p>
    <w:p>
      <w:pPr>
        <w:pStyle w:val="17"/>
        <w:shd w:val="clear" w:color="auto" w:fill="FFFFFF"/>
        <w:spacing w:before="0" w:beforeAutospacing="0" w:after="0" w:afterAutospacing="0" w:line="276" w:lineRule="auto"/>
        <w:jc w:val="both"/>
        <w:rPr>
          <w:sz w:val="28"/>
          <w:szCs w:val="28"/>
          <w:lang w:val="uk-UA"/>
        </w:rPr>
      </w:pPr>
      <w:r>
        <w:rPr>
          <w:sz w:val="28"/>
          <w:szCs w:val="28"/>
          <w:lang w:val="uk-UA"/>
        </w:rPr>
        <w:t>Таким чином, підготовка педагогічного працівника до підвищення кваліфікації може мати такий вигляд: самооцінювання власних професійних (фахових і загальних) компетентностей і педагогічної майстерності, усвідомлення потреби, отримання поради від колег за результатами відкритих уроків чи інших форм спостережень (моніторингу педагогічної діяльності педагогічного працівника), пошук суб’єктів підвищення кваліфікації, які здатні задовольнити ці потреби, вибір форми (форм) і виду (видів) підвищення кваліфікації, які ці суб’єкти можуть запропонувати для врахування потреб педагогічних працівників тощо.</w:t>
      </w:r>
    </w:p>
    <w:p>
      <w:pPr>
        <w:pStyle w:val="17"/>
        <w:shd w:val="clear" w:color="auto" w:fill="FFFFFF"/>
        <w:spacing w:before="0" w:beforeAutospacing="0" w:after="0" w:afterAutospacing="0" w:line="276" w:lineRule="auto"/>
        <w:jc w:val="both"/>
        <w:rPr>
          <w:sz w:val="28"/>
          <w:szCs w:val="28"/>
          <w:lang w:val="uk-UA"/>
        </w:rPr>
      </w:pPr>
      <w:r>
        <w:rPr>
          <w:sz w:val="28"/>
          <w:szCs w:val="28"/>
          <w:lang w:val="uk-UA"/>
        </w:rPr>
        <w:t xml:space="preserve">Відповідно до статті 59 Закону і пункту 7 Порядку </w:t>
      </w:r>
      <w:r>
        <w:rPr>
          <w:rStyle w:val="11"/>
          <w:sz w:val="28"/>
          <w:szCs w:val="28"/>
          <w:lang w:val="uk-UA"/>
        </w:rPr>
        <w:t xml:space="preserve">конкретні </w:t>
      </w:r>
      <w:r>
        <w:rPr>
          <w:sz w:val="28"/>
          <w:szCs w:val="28"/>
          <w:lang w:val="uk-UA"/>
        </w:rPr>
        <w:t xml:space="preserve">види, форми, напрями та суб’єктів підвищення кваліфікації </w:t>
      </w:r>
      <w:r>
        <w:rPr>
          <w:rStyle w:val="11"/>
          <w:sz w:val="28"/>
          <w:szCs w:val="28"/>
          <w:lang w:val="uk-UA"/>
        </w:rPr>
        <w:t>педагогічний працівник обирає самостійно</w:t>
      </w:r>
      <w:r>
        <w:rPr>
          <w:sz w:val="28"/>
          <w:szCs w:val="28"/>
          <w:lang w:val="uk-UA"/>
        </w:rPr>
        <w:t>.</w:t>
      </w:r>
    </w:p>
    <w:p>
      <w:pPr>
        <w:pStyle w:val="17"/>
        <w:shd w:val="clear" w:color="auto" w:fill="FFFFFF"/>
        <w:spacing w:before="0" w:beforeAutospacing="0" w:after="0" w:afterAutospacing="0" w:line="276" w:lineRule="auto"/>
        <w:jc w:val="both"/>
        <w:rPr>
          <w:rStyle w:val="11"/>
          <w:sz w:val="28"/>
          <w:szCs w:val="28"/>
          <w:lang w:val="uk-UA"/>
        </w:rPr>
      </w:pP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Суб’єкти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Відповідно до частини другої статті 59 Закону педагогічні працівники </w:t>
      </w:r>
      <w:r>
        <w:rPr>
          <w:rStyle w:val="11"/>
          <w:sz w:val="28"/>
          <w:szCs w:val="28"/>
          <w:lang w:val="uk-UA"/>
        </w:rPr>
        <w:t>мають право</w:t>
      </w:r>
      <w:r>
        <w:rPr>
          <w:sz w:val="28"/>
          <w:szCs w:val="28"/>
          <w:lang w:val="uk-UA"/>
        </w:rPr>
        <w:t xml:space="preserve"> підвищувати кваліфікацію у </w:t>
      </w:r>
      <w:r>
        <w:rPr>
          <w:rStyle w:val="11"/>
          <w:sz w:val="28"/>
          <w:szCs w:val="28"/>
          <w:lang w:val="uk-UA"/>
        </w:rPr>
        <w:t>закладах освіти</w:t>
      </w:r>
      <w:r>
        <w:rPr>
          <w:sz w:val="28"/>
          <w:szCs w:val="28"/>
          <w:lang w:val="uk-UA"/>
        </w:rPr>
        <w:t xml:space="preserve">, що мають ліцензію на підвищення кваліфікації або провадять освітню діяльність за акредитованою освітньою програмою, та у </w:t>
      </w:r>
      <w:r>
        <w:rPr>
          <w:rStyle w:val="11"/>
          <w:sz w:val="28"/>
          <w:szCs w:val="28"/>
          <w:lang w:val="uk-UA"/>
        </w:rPr>
        <w:t>інших суб’єктів освітньої діяльності</w:t>
      </w:r>
      <w:r>
        <w:rPr>
          <w:sz w:val="28"/>
          <w:szCs w:val="28"/>
          <w:lang w:val="uk-UA"/>
        </w:rPr>
        <w:t xml:space="preserve">, фізичних та юридичних осіб. При цьому частина одинадцята статті 18 Закону зобов’язує отримати ліцензію на підвищення кваліфікації та/або акредитувати відповідні освітні програми лише </w:t>
      </w:r>
      <w:r>
        <w:rPr>
          <w:rStyle w:val="11"/>
          <w:sz w:val="28"/>
          <w:szCs w:val="28"/>
          <w:lang w:val="uk-UA"/>
        </w:rPr>
        <w:t>заклади освіти</w:t>
      </w:r>
      <w:r>
        <w:rPr>
          <w:sz w:val="28"/>
          <w:szCs w:val="28"/>
          <w:lang w:val="uk-UA"/>
        </w:rPr>
        <w:t>.</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Тому наразі безпідставною є вимога до будь-яких інших юридичних осіб, які не мають статусу «закладу освіти», фізичних осіб-підприємців чи фізичних осіб щодо наявності ліцензії на підвищення кваліфікації чи акредитації освітніх програм.</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Відповідно до пунктів 17 і 27 частини першої статті 1 Закону суб’єктом освітньої діяльності є фізична або юридична особа (заклад освіти, підприємство, установа, організація), що провадить </w:t>
      </w:r>
      <w:r>
        <w:rPr>
          <w:rStyle w:val="11"/>
          <w:sz w:val="28"/>
          <w:szCs w:val="28"/>
          <w:lang w:val="uk-UA"/>
        </w:rPr>
        <w:t>діяльність, спрямовану на організацію, забезпечення та реалізацію освітнього процесу у формальній та/або неформальній освіті</w:t>
      </w:r>
      <w:r>
        <w:rPr>
          <w:sz w:val="28"/>
          <w:szCs w:val="28"/>
          <w:lang w:val="uk-UA"/>
        </w:rPr>
        <w:t>. Крім того, пункт 9 Порядку деталізує Закон, визначаючи, що суб'єктом підвищення кваліфікації може бути заклад освіти (його структурний підрозділ), наукова установа, інша юридична чи фізична особа, у тому числі фізична особа-підприємець, що провадить освітню діяльність у сфері підвищення кваліфікації педагогічних та/або науково-педагогічних працівників.</w:t>
      </w:r>
    </w:p>
    <w:p>
      <w:pPr>
        <w:pStyle w:val="17"/>
        <w:shd w:val="clear" w:color="auto" w:fill="FFFFFF"/>
        <w:spacing w:before="0" w:beforeAutospacing="0" w:after="0" w:afterAutospacing="0" w:line="276" w:lineRule="auto"/>
        <w:jc w:val="both"/>
        <w:rPr>
          <w:sz w:val="28"/>
          <w:szCs w:val="28"/>
          <w:lang w:val="uk-UA"/>
        </w:rPr>
      </w:pPr>
      <w:r>
        <w:rPr>
          <w:sz w:val="28"/>
          <w:szCs w:val="28"/>
          <w:lang w:val="uk-UA"/>
        </w:rPr>
        <w:t xml:space="preserve">Також, ні Закон, ні Порядок не вимагають ні від педагогічного працівника, ні від педагогічної ради чи керівника закладу освіти вивчати та перевіряти установчі документи (зокрема, статути) юридичних осіб, які пропонують освітні послуги у сфері підвищення кваліфікації, оцінювати їх на предмет відповідності вимогам законодавства тощо. Однак, враховуючи, що відповідно до Закону суб'єкт підвищення кваліфікації має спрямовувати свої зусилля на забезпечення та реалізацію освітнього процесу (системи науково-методичних і педагогічних заходів, спрямованих на розвиток особистості шляхом формування та застосування її компетентностей), основним питанням має стати вивчення, аналіз і оцінювання педагогічним працівником і педагогічною радою </w:t>
      </w:r>
      <w:r>
        <w:rPr>
          <w:rStyle w:val="11"/>
          <w:sz w:val="28"/>
          <w:szCs w:val="28"/>
          <w:lang w:val="uk-UA"/>
        </w:rPr>
        <w:t>програм</w:t>
      </w:r>
      <w:r>
        <w:rPr>
          <w:sz w:val="28"/>
          <w:szCs w:val="28"/>
          <w:lang w:val="uk-UA"/>
        </w:rPr>
        <w:t xml:space="preserve"> підвищення кваліфікації, </w:t>
      </w:r>
      <w:r>
        <w:rPr>
          <w:rStyle w:val="11"/>
          <w:sz w:val="28"/>
          <w:szCs w:val="28"/>
          <w:lang w:val="uk-UA"/>
        </w:rPr>
        <w:t>якості</w:t>
      </w:r>
      <w:r>
        <w:rPr>
          <w:sz w:val="28"/>
          <w:szCs w:val="28"/>
          <w:lang w:val="uk-UA"/>
        </w:rPr>
        <w:t xml:space="preserve"> послуг з підвищення кваліфікації та </w:t>
      </w:r>
      <w:r>
        <w:rPr>
          <w:rStyle w:val="11"/>
          <w:sz w:val="28"/>
          <w:szCs w:val="28"/>
          <w:lang w:val="uk-UA"/>
        </w:rPr>
        <w:t>переліку очікуваних результатів</w:t>
      </w:r>
      <w:r>
        <w:rPr>
          <w:sz w:val="28"/>
          <w:szCs w:val="28"/>
          <w:lang w:val="uk-UA"/>
        </w:rPr>
        <w:t>, а не установчих документів юридичних осіб, що пропонують відповідні послуги.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Також наголошуємо на тому, що законодавство України не надає жодному органу влади, установі чи організації повноважень стосовно виокремлення (виділення) власними листами чи в інший спосіб конкретних суб'єктів підвищення кваліфікації на відповідному ринку освітніх послуг..</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Суб'єкти підвищення кваліфікації мають конкурувати на відповідному ринку освітніх послуг на рівних для всіх засадах, пропонуючи педагогічним працівникам найкращі, найзручніші і найвигідніші умови підвищення кваліфікації, у тому числі ґрунтуючись на реальних їхніх потребах і запитах, та забезпечуючи при цьому досягнення педагогічними працівниками задекларованих очікуваних результатів.</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Згідно з абзацом другим частини першої статті 51 Закону про ПЗСО кожному педагогічному працівникові </w:t>
      </w:r>
      <w:r>
        <w:rPr>
          <w:rStyle w:val="11"/>
          <w:sz w:val="28"/>
          <w:szCs w:val="28"/>
          <w:lang w:val="uk-UA"/>
        </w:rPr>
        <w:t>гарантується</w:t>
      </w:r>
      <w:r>
        <w:rPr>
          <w:sz w:val="28"/>
          <w:szCs w:val="28"/>
          <w:lang w:val="uk-UA"/>
        </w:rPr>
        <w:t xml:space="preserve"> право підвищувати кваліфікацію в комунальному закладі післядипломної освіти, розташованому на території відповідної (за місцем проживання такого педагогічного працівника) області, Автономної Республіки Крим, міста Києва чи Севастополя, </w:t>
      </w:r>
      <w:r>
        <w:rPr>
          <w:rStyle w:val="11"/>
          <w:sz w:val="28"/>
          <w:szCs w:val="28"/>
          <w:lang w:val="uk-UA"/>
        </w:rPr>
        <w:t xml:space="preserve">що не обмежує його право обрати іншого суб'єкта освітньої діяльності для підвищення своєї кваліфікації. </w:t>
      </w:r>
      <w:r>
        <w:rPr>
          <w:sz w:val="28"/>
          <w:szCs w:val="28"/>
        </w:rPr>
        <w:t>Тут варто чітко зрозуміти, що визначена Законом про ПЗСО</w:t>
      </w:r>
      <w:r>
        <w:rPr>
          <w:sz w:val="28"/>
          <w:szCs w:val="28"/>
          <w:lang w:val="uk-UA"/>
        </w:rPr>
        <w:t xml:space="preserve"> </w:t>
      </w:r>
      <w:r>
        <w:rPr>
          <w:rStyle w:val="11"/>
          <w:sz w:val="28"/>
          <w:szCs w:val="28"/>
        </w:rPr>
        <w:t>додаткова гарантія</w:t>
      </w:r>
      <w:r>
        <w:rPr>
          <w:sz w:val="28"/>
          <w:szCs w:val="28"/>
          <w:lang w:val="uk-UA"/>
        </w:rPr>
        <w:t xml:space="preserve"> </w:t>
      </w:r>
      <w:r>
        <w:rPr>
          <w:sz w:val="28"/>
          <w:szCs w:val="28"/>
        </w:rPr>
        <w:t>ніяким чином не заперечує визначеного базовим</w:t>
      </w:r>
      <w:r>
        <w:rPr>
          <w:sz w:val="28"/>
          <w:szCs w:val="28"/>
          <w:lang w:val="uk-UA"/>
        </w:rPr>
        <w:t xml:space="preserve"> </w:t>
      </w:r>
      <w:r>
        <w:fldChar w:fldCharType="begin"/>
      </w:r>
      <w:r>
        <w:instrText xml:space="preserve"> HYPERLINK "https://osvita.ua/legislation/law/2231/" </w:instrText>
      </w:r>
      <w:r>
        <w:fldChar w:fldCharType="separate"/>
      </w:r>
      <w:r>
        <w:rPr>
          <w:rStyle w:val="10"/>
          <w:color w:val="auto"/>
          <w:sz w:val="28"/>
          <w:szCs w:val="28"/>
        </w:rPr>
        <w:t>Законом «Про освіту»</w:t>
      </w:r>
      <w:r>
        <w:rPr>
          <w:rStyle w:val="10"/>
          <w:color w:val="auto"/>
          <w:sz w:val="28"/>
          <w:szCs w:val="28"/>
        </w:rPr>
        <w:fldChar w:fldCharType="end"/>
      </w:r>
      <w:r>
        <w:rPr>
          <w:sz w:val="28"/>
          <w:szCs w:val="28"/>
          <w:lang w:val="uk-UA"/>
        </w:rPr>
        <w:t xml:space="preserve"> </w:t>
      </w:r>
      <w:r>
        <w:rPr>
          <w:sz w:val="28"/>
          <w:szCs w:val="28"/>
        </w:rPr>
        <w:t>загального права педагогічного працівника вільно обирати суб'єкта підвищення кваліфікації.</w:t>
      </w: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Програми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Основні підходи щодо програм підвищення кваліфікації сформульовані у пункті 10 Порядку. Програма підвищення кваліфікації </w:t>
      </w:r>
      <w:r>
        <w:rPr>
          <w:rStyle w:val="11"/>
          <w:sz w:val="28"/>
          <w:szCs w:val="28"/>
          <w:lang w:val="uk-UA"/>
        </w:rPr>
        <w:t>затверджується</w:t>
      </w:r>
      <w:r>
        <w:rPr>
          <w:sz w:val="28"/>
          <w:szCs w:val="28"/>
          <w:lang w:val="uk-UA"/>
        </w:rPr>
        <w:t xml:space="preserve"> суб'єктом підвищення кваліфікації та </w:t>
      </w:r>
      <w:r>
        <w:rPr>
          <w:rStyle w:val="11"/>
          <w:sz w:val="28"/>
          <w:szCs w:val="28"/>
          <w:lang w:val="uk-UA"/>
        </w:rPr>
        <w:t xml:space="preserve">повинна </w:t>
      </w:r>
      <w:r>
        <w:rPr>
          <w:sz w:val="28"/>
          <w:szCs w:val="28"/>
          <w:lang w:val="uk-UA"/>
        </w:rPr>
        <w:t>містити інформацію про її розробника (розробників), найменування, мету, напрям, зміст, обсяг 6 (тривалість), що встановлюється в годинах</w:t>
      </w:r>
      <w:r>
        <w:rPr>
          <w:sz w:val="28"/>
          <w:szCs w:val="28"/>
          <w:vertAlign w:val="superscript"/>
          <w:lang w:val="uk-UA"/>
        </w:rPr>
        <w:t xml:space="preserve"> </w:t>
      </w:r>
      <w:r>
        <w:rPr>
          <w:sz w:val="28"/>
          <w:szCs w:val="28"/>
          <w:lang w:val="uk-UA"/>
        </w:rPr>
        <w:t>та/або в кредитах ЄКТС, форму (форми) підвищення кваліфікації, перелік компетентностей, що вдосконалюватимуться/набуватимуться (загальні, фахові тощо).</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Крім того, програма також </w:t>
      </w:r>
      <w:r>
        <w:rPr>
          <w:rStyle w:val="11"/>
          <w:sz w:val="28"/>
          <w:szCs w:val="28"/>
          <w:lang w:val="uk-UA"/>
        </w:rPr>
        <w:t>може</w:t>
      </w:r>
      <w:r>
        <w:rPr>
          <w:sz w:val="28"/>
          <w:szCs w:val="28"/>
          <w:lang w:val="uk-UA"/>
        </w:rPr>
        <w:t xml:space="preserve"> бути доповнена інформацією про різні організаційно-змістові особливості проходження підвищення кваліфікації, зокрема про: розподіл годин за видами діяльності (консультація; аудиторна, практична, самостійна і контрольна робота тощо); особу (осіб), які виконують програму (рівень вищої освіти, категорія, науковий ступінь, педагогічне/вчене звання, місце та/або досвід роботи тощо); строки виконання програми; місце виконання програми (за місцезнаходженням суб'єкта підвищення кваліфікації та/або за місцезнаходженням замовника тощо), очікувані результати навчання; вартість (у разі встановлення) або про безоплатний характер надання освітньої послуги; графік освітнього процесу; мінімальну та максимальну кількість осіб в групі; академічні, професійні можливості за результатами опанування програми; можливість надання подальшої підтримки чи супроводу; додаткові послуги (організація трансферу, забезпечення проживання і харчування, перелік можливих послуг для осіб з інвалідністю тощо); документ, що видається за результатами підвищення кваліфікації, тощо.</w:t>
      </w:r>
    </w:p>
    <w:p>
      <w:pPr>
        <w:pStyle w:val="17"/>
        <w:shd w:val="clear" w:color="auto" w:fill="FFFFFF"/>
        <w:spacing w:before="0" w:beforeAutospacing="0" w:after="0" w:afterAutospacing="0" w:line="276" w:lineRule="auto"/>
        <w:ind w:firstLine="708"/>
        <w:jc w:val="both"/>
        <w:rPr>
          <w:sz w:val="28"/>
          <w:szCs w:val="28"/>
        </w:rPr>
      </w:pPr>
      <w:r>
        <w:rPr>
          <w:rStyle w:val="11"/>
          <w:sz w:val="28"/>
          <w:szCs w:val="28"/>
          <w:lang w:val="uk-UA"/>
        </w:rPr>
        <w:t>Кожна</w:t>
      </w:r>
      <w:r>
        <w:rPr>
          <w:sz w:val="28"/>
          <w:szCs w:val="28"/>
          <w:lang w:val="uk-UA"/>
        </w:rPr>
        <w:t xml:space="preserve"> програма підвищення кваліфікації </w:t>
      </w:r>
      <w:r>
        <w:rPr>
          <w:rStyle w:val="11"/>
          <w:sz w:val="28"/>
          <w:szCs w:val="28"/>
          <w:lang w:val="uk-UA"/>
        </w:rPr>
        <w:t xml:space="preserve">має бути оприлюднена на вебсайті </w:t>
      </w:r>
      <w:r>
        <w:rPr>
          <w:sz w:val="28"/>
          <w:szCs w:val="28"/>
          <w:lang w:val="uk-UA"/>
        </w:rPr>
        <w:t xml:space="preserve">суб'єкта підвищення кваліфікації, забезпечуючи таким чином відкритість і доступність інформації про кожну таку програму. Таким чином, </w:t>
      </w:r>
      <w:r>
        <w:rPr>
          <w:rStyle w:val="11"/>
          <w:sz w:val="28"/>
          <w:szCs w:val="28"/>
          <w:lang w:val="uk-UA"/>
        </w:rPr>
        <w:t>оприлюднення на власному вебсайті програми підвищення кваліфікації</w:t>
      </w:r>
      <w:r>
        <w:rPr>
          <w:sz w:val="28"/>
          <w:szCs w:val="28"/>
          <w:lang w:val="uk-UA"/>
        </w:rPr>
        <w:t xml:space="preserve">, яка повинна відповідати зазначеним в абзаці першому пункту 10 Порядку вимогам, є </w:t>
      </w:r>
      <w:r>
        <w:rPr>
          <w:rStyle w:val="11"/>
          <w:sz w:val="28"/>
          <w:szCs w:val="28"/>
          <w:lang w:val="uk-UA"/>
        </w:rPr>
        <w:t>обов'язковою і необхідною умовою</w:t>
      </w:r>
      <w:r>
        <w:rPr>
          <w:sz w:val="28"/>
          <w:szCs w:val="28"/>
          <w:lang w:val="uk-UA"/>
        </w:rPr>
        <w:t xml:space="preserve"> для уможливлення педагогічним працівником обрання цієї програми і включення її за рішенням педагогічної ради до відповідного плану підвищення кваліфікації. </w:t>
      </w:r>
      <w:r>
        <w:rPr>
          <w:sz w:val="28"/>
          <w:szCs w:val="28"/>
        </w:rPr>
        <w:t>Крім того, програма може за рішенням суб'єкта підвищення кваліфікації поширюватися на різноманітних інформаційних чи спеціальних ресурсах, у тематичних групах тощо.</w:t>
      </w:r>
    </w:p>
    <w:p>
      <w:pPr>
        <w:pStyle w:val="17"/>
        <w:shd w:val="clear" w:color="auto" w:fill="BEBEBE" w:themeFill="background1" w:themeFillShade="BF"/>
        <w:spacing w:before="0" w:beforeAutospacing="0" w:after="0" w:afterAutospacing="0" w:line="276" w:lineRule="auto"/>
        <w:jc w:val="center"/>
        <w:rPr>
          <w:rStyle w:val="11"/>
          <w:sz w:val="28"/>
          <w:szCs w:val="28"/>
        </w:rPr>
      </w:pPr>
    </w:p>
    <w:p>
      <w:pPr>
        <w:pStyle w:val="17"/>
        <w:shd w:val="clear" w:color="auto" w:fill="BEBEBE" w:themeFill="background1" w:themeFillShade="BF"/>
        <w:spacing w:before="0" w:beforeAutospacing="0" w:after="0" w:afterAutospacing="0" w:line="276" w:lineRule="auto"/>
        <w:jc w:val="center"/>
        <w:rPr>
          <w:sz w:val="28"/>
          <w:szCs w:val="28"/>
        </w:rPr>
      </w:pPr>
      <w:r>
        <w:rPr>
          <w:rStyle w:val="11"/>
          <w:sz w:val="28"/>
          <w:szCs w:val="28"/>
        </w:rPr>
        <w:t>Обсяги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fldChar w:fldCharType="begin"/>
      </w:r>
      <w:r>
        <w:instrText xml:space="preserve"> HYPERLINK "https://osvita.ua/legislation/law/2231/" </w:instrText>
      </w:r>
      <w:r>
        <w:fldChar w:fldCharType="separate"/>
      </w:r>
      <w:r>
        <w:rPr>
          <w:rStyle w:val="10"/>
          <w:color w:val="auto"/>
          <w:sz w:val="28"/>
          <w:szCs w:val="28"/>
        </w:rPr>
        <w:t>Законом України «Про освіту»</w:t>
      </w:r>
      <w:r>
        <w:rPr>
          <w:rStyle w:val="10"/>
          <w:color w:val="auto"/>
          <w:sz w:val="28"/>
          <w:szCs w:val="28"/>
        </w:rPr>
        <w:fldChar w:fldCharType="end"/>
      </w:r>
      <w:r>
        <w:rPr>
          <w:sz w:val="28"/>
          <w:szCs w:val="28"/>
        </w:rPr>
        <w:t>, який набрав чинності 29 вересня 2017 року, Закон</w:t>
      </w:r>
      <w:r>
        <w:rPr>
          <w:sz w:val="28"/>
          <w:szCs w:val="28"/>
          <w:lang w:val="uk-UA"/>
        </w:rPr>
        <w:t>ом</w:t>
      </w:r>
      <w:r>
        <w:rPr>
          <w:sz w:val="28"/>
          <w:szCs w:val="28"/>
        </w:rPr>
        <w:t xml:space="preserve"> України «Про загальну середню освіту</w:t>
      </w:r>
      <w:r>
        <w:rPr>
          <w:sz w:val="28"/>
          <w:szCs w:val="28"/>
          <w:lang w:val="uk-UA"/>
        </w:rPr>
        <w:t>»,</w:t>
      </w:r>
      <w:r>
        <w:rPr>
          <w:sz w:val="28"/>
          <w:szCs w:val="28"/>
        </w:rPr>
        <w:t xml:space="preserve"> було вперше запроваджено</w:t>
      </w:r>
      <w:r>
        <w:rPr>
          <w:sz w:val="28"/>
          <w:szCs w:val="28"/>
          <w:lang w:val="uk-UA"/>
        </w:rPr>
        <w:t xml:space="preserve"> </w:t>
      </w:r>
      <w:r>
        <w:rPr>
          <w:rStyle w:val="11"/>
          <w:sz w:val="28"/>
          <w:szCs w:val="28"/>
        </w:rPr>
        <w:t>накопичувальну систему</w:t>
      </w:r>
      <w:r>
        <w:rPr>
          <w:sz w:val="28"/>
          <w:szCs w:val="28"/>
          <w:lang w:val="uk-UA"/>
        </w:rPr>
        <w:t xml:space="preserve"> </w:t>
      </w:r>
      <w:r>
        <w:rPr>
          <w:sz w:val="28"/>
          <w:szCs w:val="28"/>
        </w:rPr>
        <w:t>визначення обсягу (тривалості) підвищення кваліфікації педагогічних працівників. У новому Законі про ПЗСО збережено такий підхід та визначено, що педагогічні працівники мають підвищувати свою кваліфікацію</w:t>
      </w:r>
      <w:r>
        <w:rPr>
          <w:sz w:val="28"/>
          <w:szCs w:val="28"/>
          <w:lang w:val="uk-UA"/>
        </w:rPr>
        <w:t xml:space="preserve"> </w:t>
      </w:r>
      <w:r>
        <w:rPr>
          <w:rStyle w:val="11"/>
          <w:sz w:val="28"/>
          <w:szCs w:val="28"/>
        </w:rPr>
        <w:t>щорічно</w:t>
      </w:r>
      <w:r>
        <w:rPr>
          <w:sz w:val="28"/>
          <w:szCs w:val="28"/>
        </w:rPr>
        <w:t>, а</w:t>
      </w:r>
      <w:r>
        <w:rPr>
          <w:sz w:val="28"/>
          <w:szCs w:val="28"/>
          <w:lang w:val="uk-UA"/>
        </w:rPr>
        <w:t xml:space="preserve"> </w:t>
      </w:r>
      <w:r>
        <w:rPr>
          <w:rStyle w:val="11"/>
          <w:sz w:val="28"/>
          <w:szCs w:val="28"/>
        </w:rPr>
        <w:t>загальна кількість академічних</w:t>
      </w:r>
      <w:r>
        <w:rPr>
          <w:sz w:val="28"/>
          <w:szCs w:val="28"/>
          <w:lang w:val="uk-UA"/>
        </w:rPr>
        <w:t xml:space="preserve"> </w:t>
      </w:r>
      <w:r>
        <w:rPr>
          <w:sz w:val="28"/>
          <w:szCs w:val="28"/>
        </w:rPr>
        <w:t>годин для підвищення кваліфікації</w:t>
      </w:r>
      <w:r>
        <w:rPr>
          <w:sz w:val="28"/>
          <w:szCs w:val="28"/>
          <w:lang w:val="uk-UA"/>
        </w:rPr>
        <w:t xml:space="preserve"> </w:t>
      </w:r>
      <w:r>
        <w:rPr>
          <w:rStyle w:val="11"/>
          <w:sz w:val="28"/>
          <w:szCs w:val="28"/>
        </w:rPr>
        <w:t>протягом п'яти</w:t>
      </w:r>
      <w:r>
        <w:rPr>
          <w:sz w:val="28"/>
          <w:szCs w:val="28"/>
          <w:lang w:val="uk-UA"/>
        </w:rPr>
        <w:t xml:space="preserve"> </w:t>
      </w:r>
      <w:r>
        <w:rPr>
          <w:rStyle w:val="11"/>
          <w:sz w:val="28"/>
          <w:szCs w:val="28"/>
        </w:rPr>
        <w:t>років</w:t>
      </w:r>
      <w:r>
        <w:rPr>
          <w:sz w:val="28"/>
          <w:szCs w:val="28"/>
        </w:rPr>
        <w:t>, яка оплачується за рахунок коштів державного та місцевих бюджетів,</w:t>
      </w:r>
      <w:r>
        <w:rPr>
          <w:sz w:val="28"/>
          <w:szCs w:val="28"/>
          <w:lang w:val="uk-UA"/>
        </w:rPr>
        <w:t xml:space="preserve"> </w:t>
      </w:r>
      <w:r>
        <w:rPr>
          <w:rStyle w:val="11"/>
          <w:sz w:val="28"/>
          <w:szCs w:val="28"/>
        </w:rPr>
        <w:t>не може бути меншою за 150 годин</w:t>
      </w:r>
      <w:r>
        <w:rPr>
          <w:sz w:val="28"/>
          <w:szCs w:val="28"/>
        </w:rPr>
        <w:t>, з яких не менше 10 відсотків загальної кількості годин обов'язково повинні бути спрямовані на вдосконалення знань, вмінь і практичних навичок у частині роботи з учнями з особливими освітніми потребами.</w:t>
      </w:r>
    </w:p>
    <w:p>
      <w:pPr>
        <w:pStyle w:val="17"/>
        <w:shd w:val="clear" w:color="auto" w:fill="FFFFFF"/>
        <w:spacing w:before="0" w:beforeAutospacing="0" w:after="0" w:afterAutospacing="0" w:line="276" w:lineRule="auto"/>
        <w:jc w:val="both"/>
        <w:rPr>
          <w:sz w:val="28"/>
          <w:szCs w:val="28"/>
          <w:lang w:val="uk-UA"/>
        </w:rPr>
      </w:pPr>
      <w:r>
        <w:rPr>
          <w:sz w:val="28"/>
          <w:szCs w:val="28"/>
        </w:rPr>
        <w:t>При цьому, законодавство не визначає ні мінімальну, ні максимальну</w:t>
      </w:r>
    </w:p>
    <w:p>
      <w:pPr>
        <w:pStyle w:val="17"/>
        <w:shd w:val="clear" w:color="auto" w:fill="FFFFFF"/>
        <w:spacing w:before="0" w:beforeAutospacing="0" w:after="0" w:afterAutospacing="0" w:line="276" w:lineRule="auto"/>
        <w:ind w:firstLine="708"/>
        <w:jc w:val="both"/>
        <w:rPr>
          <w:sz w:val="28"/>
          <w:szCs w:val="28"/>
          <w:lang w:val="uk-UA"/>
        </w:rPr>
      </w:pPr>
      <w:r>
        <w:rPr>
          <w:sz w:val="28"/>
          <w:szCs w:val="28"/>
        </w:rPr>
        <w:t>Кількість годин, які педагогічний працівник має присвятити своєму професійному розвитку</w:t>
      </w:r>
      <w:r>
        <w:rPr>
          <w:sz w:val="28"/>
          <w:szCs w:val="28"/>
          <w:lang w:val="uk-UA"/>
        </w:rPr>
        <w:t xml:space="preserve"> </w:t>
      </w:r>
      <w:r>
        <w:rPr>
          <w:rStyle w:val="11"/>
          <w:sz w:val="28"/>
          <w:szCs w:val="28"/>
        </w:rPr>
        <w:t>впродовж одного року</w:t>
      </w:r>
      <w:r>
        <w:rPr>
          <w:sz w:val="28"/>
          <w:szCs w:val="28"/>
        </w:rPr>
        <w:t>. Це питання має вирішуватися педагогічними працівниками з урахуванням багатьох чинників, обставин і можливостей, у тому числі фінансових, обговорюватися і узгоджуватися на педагогічній раді закладу освіти тощо. Водночас підвищувати свою кваліфікацію</w:t>
      </w:r>
      <w:r>
        <w:rPr>
          <w:sz w:val="28"/>
          <w:szCs w:val="28"/>
          <w:lang w:val="uk-UA"/>
        </w:rPr>
        <w:t xml:space="preserve"> </w:t>
      </w:r>
      <w:r>
        <w:rPr>
          <w:rStyle w:val="11"/>
          <w:sz w:val="28"/>
          <w:szCs w:val="28"/>
        </w:rPr>
        <w:t>щорічно</w:t>
      </w:r>
      <w:r>
        <w:rPr>
          <w:sz w:val="28"/>
          <w:szCs w:val="28"/>
          <w:lang w:val="uk-UA"/>
        </w:rPr>
        <w:t xml:space="preserve"> </w:t>
      </w:r>
      <w:r>
        <w:rPr>
          <w:sz w:val="28"/>
          <w:szCs w:val="28"/>
        </w:rPr>
        <w:t>є обов'язком і, фактично, невід'ємною складовою педагогічної діяльності кожного педагогічного працівника закладу освіти.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Таким чином, починаючи з 2020 </w:t>
      </w:r>
      <w:r>
        <w:rPr>
          <w:rStyle w:val="11"/>
          <w:b w:val="0"/>
          <w:bCs w:val="0"/>
          <w:sz w:val="28"/>
          <w:szCs w:val="28"/>
          <w:lang w:val="uk-UA"/>
        </w:rPr>
        <w:t xml:space="preserve"> року</w:t>
      </w:r>
      <w:r>
        <w:rPr>
          <w:sz w:val="28"/>
          <w:szCs w:val="28"/>
          <w:lang w:val="uk-UA"/>
        </w:rPr>
        <w:t xml:space="preserve"> у педагогічних працівників з'явився обов'язок щорічно підвищувати власну педагогічну майстерність, а загальний сукупний обсяг годин, виділених на підвищення кваліфікації, впродовж 5 років не може бути менше 150 годин.</w:t>
      </w:r>
    </w:p>
    <w:p>
      <w:pPr>
        <w:pStyle w:val="17"/>
        <w:shd w:val="clear" w:color="auto" w:fill="FFFFFF"/>
        <w:spacing w:before="0" w:beforeAutospacing="0" w:after="0" w:afterAutospacing="0" w:line="276" w:lineRule="auto"/>
        <w:jc w:val="both"/>
        <w:rPr>
          <w:sz w:val="28"/>
          <w:szCs w:val="28"/>
          <w:lang w:val="uk-UA"/>
        </w:rPr>
      </w:pPr>
      <w:r>
        <w:rPr>
          <w:sz w:val="28"/>
          <w:szCs w:val="28"/>
          <w:lang w:val="uk-UA"/>
        </w:rPr>
        <w:t xml:space="preserve">Звертаємо також увагу і на те, що відповідно до пункту 15 Порядку у разі викладання кількох навчальних предметів педагогічні працівники </w:t>
      </w:r>
      <w:r>
        <w:rPr>
          <w:rStyle w:val="11"/>
          <w:sz w:val="28"/>
          <w:szCs w:val="28"/>
          <w:lang w:val="uk-UA"/>
        </w:rPr>
        <w:t>самостійно</w:t>
      </w:r>
      <w:r>
        <w:rPr>
          <w:sz w:val="28"/>
          <w:szCs w:val="28"/>
          <w:lang w:val="uk-UA"/>
        </w:rPr>
        <w:t xml:space="preserve"> обирають послідовність підвищення кваліфікації за певними напрямами у міжатестаційний період </w:t>
      </w:r>
      <w:r>
        <w:rPr>
          <w:rStyle w:val="11"/>
          <w:sz w:val="28"/>
          <w:szCs w:val="28"/>
          <w:lang w:val="uk-UA"/>
        </w:rPr>
        <w:t>у межах загального обсягу (тривалості) підвищення кваліфікації, визначеного законодавством.</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Отже, підвищення кваліфікації таких працівників упродовж п'яти років має становити </w:t>
      </w:r>
      <w:r>
        <w:rPr>
          <w:rStyle w:val="11"/>
          <w:sz w:val="28"/>
          <w:szCs w:val="28"/>
          <w:lang w:val="uk-UA"/>
        </w:rPr>
        <w:t>сукупно</w:t>
      </w:r>
      <w:r>
        <w:rPr>
          <w:sz w:val="28"/>
          <w:szCs w:val="28"/>
          <w:lang w:val="uk-UA"/>
        </w:rPr>
        <w:t xml:space="preserve">, за всіма посадами, які обіймає педагогічний працівник та/або навчальними предметами, не менше 150 годин. </w:t>
      </w:r>
      <w:r>
        <w:rPr>
          <w:sz w:val="28"/>
          <w:szCs w:val="28"/>
        </w:rPr>
        <w:t>Тому немає жодних правових підстав для збільшення (додавання) таких годин за кожною посадою чи навчальним предметом.</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Згідно з пунктом 8 Порядку обсяг (тривалість) підвищення кваліфікації педагогічних працівників установлюється в годинах та/або кредитах Європейської кредитної трансферно-накопичувальної системи (далі - ЄКТС, один кредит ЄКТС становить 30 годин) за накопичувальною системою.</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Облік результатів підвищення кваліфікації педагогічних працівників закладу освіти для контролю виконання ними річного плану підвищення кваліфікації та вимог Закону щодо загального обсягу підвищення кваліфікації впродовж 5 років (не менше 150 годин) варто здійснювати на підставі отриманих закладом освіти копій документів про підвищення кваліфікації. Педагогічним працівникам також рекомендується самостійно у довільній формі обліковувати власні результати підвищення кваліфікації з метою уникнення непорозумінь.</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Підвищення кваліфікації керівників закладів освіти грунтується на тих же засадах, що і підвищення кваліфікації інших педагогічних працівників, але є особливість, пов'язана з їхніми управлінськими повноваженнями. </w:t>
      </w:r>
      <w:r>
        <w:rPr>
          <w:sz w:val="28"/>
          <w:szCs w:val="28"/>
        </w:rPr>
        <w:t>Зокрема частина четверта статті 38 Закону про ПЗСО передбачає, що керівник (крім приватного закладу) зобов'язаний протягом першого року після призначення на посаду пройти також курс підвищення кваліфікації з управлінської діяльності обсягом не менше 90 навчальних годин. Ці 90 годин мають бути включені до загального обсягу підвищення кваліфікації (не менше 150 годин) впродовж 5 років.</w:t>
      </w:r>
    </w:p>
    <w:p>
      <w:pPr>
        <w:pStyle w:val="17"/>
        <w:shd w:val="clear" w:color="auto" w:fill="FFFFFF"/>
        <w:spacing w:before="0" w:beforeAutospacing="0" w:after="0" w:afterAutospacing="0" w:line="276" w:lineRule="auto"/>
        <w:jc w:val="center"/>
        <w:rPr>
          <w:rStyle w:val="11"/>
          <w:sz w:val="28"/>
          <w:szCs w:val="28"/>
          <w:lang w:val="uk-UA"/>
        </w:rPr>
      </w:pPr>
    </w:p>
    <w:p>
      <w:pPr>
        <w:pStyle w:val="17"/>
        <w:shd w:val="clear" w:color="auto" w:fill="FFFFFF"/>
        <w:spacing w:before="0" w:beforeAutospacing="0" w:after="0" w:afterAutospacing="0" w:line="276" w:lineRule="auto"/>
        <w:jc w:val="center"/>
        <w:rPr>
          <w:rStyle w:val="11"/>
          <w:sz w:val="28"/>
          <w:szCs w:val="28"/>
          <w:lang w:val="uk-UA"/>
        </w:rPr>
      </w:pP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Планування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Планування підвищення кваліфікації педагогічних працівників закладу освіти здійснюється у </w:t>
      </w:r>
      <w:r>
        <w:rPr>
          <w:rStyle w:val="11"/>
          <w:sz w:val="28"/>
          <w:szCs w:val="28"/>
          <w:lang w:val="uk-UA"/>
        </w:rPr>
        <w:t xml:space="preserve">два етапи </w:t>
      </w:r>
      <w:r>
        <w:rPr>
          <w:sz w:val="28"/>
          <w:szCs w:val="28"/>
          <w:lang w:val="uk-UA"/>
        </w:rPr>
        <w:t>(пункт 17 Порядку).</w:t>
      </w:r>
    </w:p>
    <w:p>
      <w:pPr>
        <w:pStyle w:val="17"/>
        <w:shd w:val="clear" w:color="auto" w:fill="FFFFFF"/>
        <w:spacing w:before="0" w:beforeAutospacing="0" w:after="0" w:afterAutospacing="0" w:line="276" w:lineRule="auto"/>
        <w:ind w:firstLine="708"/>
        <w:jc w:val="both"/>
        <w:rPr>
          <w:sz w:val="28"/>
          <w:szCs w:val="28"/>
        </w:rPr>
      </w:pPr>
      <w:r>
        <w:rPr>
          <w:rStyle w:val="11"/>
          <w:sz w:val="28"/>
          <w:szCs w:val="28"/>
          <w:lang w:val="uk-UA"/>
        </w:rPr>
        <w:t>На першому етапі</w:t>
      </w:r>
      <w:r>
        <w:rPr>
          <w:sz w:val="28"/>
          <w:szCs w:val="28"/>
        </w:rPr>
        <w:t> </w:t>
      </w:r>
      <w:r>
        <w:rPr>
          <w:sz w:val="28"/>
          <w:szCs w:val="28"/>
          <w:lang w:val="uk-UA"/>
        </w:rPr>
        <w:t xml:space="preserve">здійснюється перспективне планування у поточному році на наступний календарний рік шляхом затвердження педагогічною радою </w:t>
      </w:r>
      <w:r>
        <w:rPr>
          <w:rStyle w:val="11"/>
          <w:sz w:val="28"/>
          <w:szCs w:val="28"/>
          <w:lang w:val="uk-UA"/>
        </w:rPr>
        <w:t>на основі пропозицій</w:t>
      </w:r>
      <w:r>
        <w:rPr>
          <w:sz w:val="28"/>
          <w:szCs w:val="28"/>
          <w:lang w:val="uk-UA"/>
        </w:rPr>
        <w:t xml:space="preserve"> педагогічних працівників </w:t>
      </w:r>
      <w:r>
        <w:rPr>
          <w:rStyle w:val="11"/>
          <w:sz w:val="28"/>
          <w:szCs w:val="28"/>
          <w:lang w:val="uk-UA"/>
        </w:rPr>
        <w:t>орієнтовного плану</w:t>
      </w:r>
      <w:r>
        <w:rPr>
          <w:sz w:val="28"/>
          <w:szCs w:val="28"/>
          <w:lang w:val="uk-UA"/>
        </w:rPr>
        <w:t xml:space="preserve"> підвищення кваліфікації, що має містити інформацію про загальну кількість педагогічних працівників, які проходитимуть підвищення кваліфікації, основні напрями та орієнтовний перелік суб'єктів підвищення кваліфікації. </w:t>
      </w:r>
      <w:r>
        <w:rPr>
          <w:sz w:val="28"/>
          <w:szCs w:val="28"/>
        </w:rPr>
        <w:t>Строк і процедура подання педагогічними працівниками своїх пропозицій до орієнтовного плану є внутрішнім питанням закладу освіти. Орієнтовний план має бути оприлюднений на інформаційному стенді закладу освіти</w:t>
      </w:r>
      <w:r>
        <w:rPr>
          <w:sz w:val="28"/>
          <w:szCs w:val="28"/>
          <w:vertAlign w:val="superscript"/>
          <w:lang w:val="uk-UA"/>
        </w:rPr>
        <w:t xml:space="preserve"> </w:t>
      </w:r>
      <w:r>
        <w:rPr>
          <w:sz w:val="28"/>
          <w:szCs w:val="28"/>
        </w:rPr>
        <w:t>та на його вебсайті (у разі відсутності вебсайту закладу освіти - на вебсайті органу, у сфері управління якого перебуває заклад освіти)</w:t>
      </w:r>
      <w:r>
        <w:rPr>
          <w:sz w:val="28"/>
          <w:szCs w:val="28"/>
          <w:vertAlign w:val="superscript"/>
        </w:rPr>
        <w:t>5</w:t>
      </w:r>
      <w:r>
        <w:rPr>
          <w:sz w:val="28"/>
          <w:szCs w:val="28"/>
        </w:rPr>
        <w:t> протягом двох робочих днів з дня його затвердження педагогічною радою, але</w:t>
      </w:r>
      <w:r>
        <w:rPr>
          <w:sz w:val="28"/>
          <w:szCs w:val="28"/>
          <w:lang w:val="uk-UA"/>
        </w:rPr>
        <w:t xml:space="preserve"> </w:t>
      </w:r>
      <w:r>
        <w:rPr>
          <w:rStyle w:val="11"/>
          <w:sz w:val="28"/>
          <w:szCs w:val="28"/>
        </w:rPr>
        <w:t>не пізніше 25 грудня</w:t>
      </w:r>
      <w:r>
        <w:rPr>
          <w:sz w:val="28"/>
          <w:szCs w:val="28"/>
          <w:lang w:val="uk-UA"/>
        </w:rPr>
        <w:t xml:space="preserve"> </w:t>
      </w:r>
      <w:r>
        <w:rPr>
          <w:sz w:val="28"/>
          <w:szCs w:val="28"/>
        </w:rPr>
        <w:t>поточного року. Перспективне планування має для всіх учасників цього процесу, у тому числі для суб'єктів підвищення кваліфікації, адже останні, враховуючи такі орієнтовні плани, мають можливість попередньо і правильно спланувати свою ефективну роботу на наступний календарний рік з урахуванням загального попиту на їхні освітні послуги, бажаних напрямів, тривалості відповідних програм (зокрема, курсів, модулів тощо), визначитися зі строками та місцем (місцями) підвищення кваліфікації тощо.</w:t>
      </w:r>
    </w:p>
    <w:p>
      <w:pPr>
        <w:pStyle w:val="17"/>
        <w:shd w:val="clear" w:color="auto" w:fill="FFFFFF"/>
        <w:spacing w:before="0" w:beforeAutospacing="0" w:after="0" w:afterAutospacing="0" w:line="276" w:lineRule="auto"/>
        <w:ind w:firstLine="708"/>
        <w:jc w:val="both"/>
        <w:rPr>
          <w:sz w:val="28"/>
          <w:szCs w:val="28"/>
          <w:lang w:val="uk-UA"/>
        </w:rPr>
      </w:pPr>
      <w:r>
        <w:rPr>
          <w:rStyle w:val="11"/>
          <w:sz w:val="28"/>
          <w:szCs w:val="28"/>
        </w:rPr>
        <w:t>Другий етап</w:t>
      </w:r>
      <w:r>
        <w:rPr>
          <w:sz w:val="28"/>
          <w:szCs w:val="28"/>
          <w:lang w:val="uk-UA"/>
        </w:rPr>
        <w:t xml:space="preserve"> </w:t>
      </w:r>
      <w:r>
        <w:rPr>
          <w:sz w:val="28"/>
          <w:szCs w:val="28"/>
        </w:rPr>
        <w:t>планування розпочинається</w:t>
      </w:r>
      <w:r>
        <w:rPr>
          <w:sz w:val="28"/>
          <w:szCs w:val="28"/>
          <w:lang w:val="uk-UA"/>
        </w:rPr>
        <w:t xml:space="preserve"> </w:t>
      </w:r>
      <w:r>
        <w:rPr>
          <w:rStyle w:val="11"/>
          <w:sz w:val="28"/>
          <w:szCs w:val="28"/>
        </w:rPr>
        <w:t>після затвердження</w:t>
      </w:r>
      <w:r>
        <w:rPr>
          <w:sz w:val="28"/>
          <w:szCs w:val="28"/>
          <w:lang w:val="uk-UA"/>
        </w:rPr>
        <w:t xml:space="preserve"> </w:t>
      </w:r>
      <w:r>
        <w:rPr>
          <w:sz w:val="28"/>
          <w:szCs w:val="28"/>
        </w:rPr>
        <w:t>в установленому порядку</w:t>
      </w:r>
      <w:r>
        <w:rPr>
          <w:sz w:val="28"/>
          <w:szCs w:val="28"/>
          <w:lang w:val="uk-UA"/>
        </w:rPr>
        <w:t xml:space="preserve"> </w:t>
      </w:r>
      <w:r>
        <w:rPr>
          <w:rStyle w:val="11"/>
          <w:sz w:val="28"/>
          <w:szCs w:val="28"/>
        </w:rPr>
        <w:t>кошторису</w:t>
      </w:r>
      <w:r>
        <w:rPr>
          <w:rStyle w:val="11"/>
          <w:sz w:val="28"/>
          <w:szCs w:val="28"/>
          <w:lang w:val="uk-UA"/>
        </w:rPr>
        <w:t xml:space="preserve"> </w:t>
      </w:r>
      <w:r>
        <w:rPr>
          <w:sz w:val="28"/>
          <w:szCs w:val="28"/>
        </w:rPr>
        <w:t>закладу освіти на відповідний рік.</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Керівник закладу освіти має забезпечити </w:t>
      </w:r>
      <w:r>
        <w:rPr>
          <w:rStyle w:val="11"/>
          <w:sz w:val="28"/>
          <w:szCs w:val="28"/>
          <w:lang w:val="uk-UA"/>
        </w:rPr>
        <w:t xml:space="preserve">невідкладне оприлюднення </w:t>
      </w:r>
      <w:r>
        <w:rPr>
          <w:sz w:val="28"/>
          <w:szCs w:val="28"/>
          <w:lang w:val="uk-UA"/>
        </w:rPr>
        <w:t xml:space="preserve">загального обсягу коштів, передбаченого для підвищення кваліфікації педагогічних працівників закладу освіти. Протягом наступних 15 календарних днів з дня отримання зазначеної інформації кожен педагогічний працівник має подати керівникові закладу освіти (або уповноваженій ним особі) свою </w:t>
      </w:r>
      <w:r>
        <w:rPr>
          <w:rStyle w:val="11"/>
          <w:sz w:val="28"/>
          <w:szCs w:val="28"/>
          <w:lang w:val="uk-UA"/>
        </w:rPr>
        <w:t>пропозицію до плану</w:t>
      </w:r>
      <w:r>
        <w:rPr>
          <w:sz w:val="28"/>
          <w:szCs w:val="28"/>
          <w:lang w:val="uk-UA"/>
        </w:rPr>
        <w:t xml:space="preserve"> підвищення кваліфікації на відповідний рік, яка </w:t>
      </w:r>
      <w:r>
        <w:rPr>
          <w:rStyle w:val="11"/>
          <w:sz w:val="28"/>
          <w:szCs w:val="28"/>
          <w:lang w:val="uk-UA"/>
        </w:rPr>
        <w:t>має містити</w:t>
      </w:r>
      <w:r>
        <w:rPr>
          <w:sz w:val="28"/>
          <w:szCs w:val="28"/>
          <w:lang w:val="uk-UA"/>
        </w:rPr>
        <w:t xml:space="preserve"> інформацію про тему (напрям, найменування) відповідної програми (курсу, лекції, модуля тощо), форму (форми), обсяг (тривалість), суб'єкта (суб'єктів) підвищення кваліфікації, вартість підвищення кваліфікації (у разі встановлення) або про безоплатний характер надання такої освітньої послуги.</w:t>
      </w:r>
    </w:p>
    <w:p>
      <w:pPr>
        <w:pStyle w:val="17"/>
        <w:shd w:val="clear" w:color="auto" w:fill="FFFFFF"/>
        <w:spacing w:before="0" w:beforeAutospacing="0" w:after="0" w:afterAutospacing="0" w:line="276" w:lineRule="auto"/>
        <w:ind w:firstLine="708"/>
        <w:jc w:val="both"/>
        <w:rPr>
          <w:sz w:val="28"/>
          <w:szCs w:val="28"/>
          <w:lang w:val="uk-UA"/>
        </w:rPr>
      </w:pPr>
      <w:r>
        <w:rPr>
          <w:sz w:val="28"/>
          <w:szCs w:val="28"/>
        </w:rPr>
        <w:t>Відповідно до абзацу другого пункту 18 Порядку</w:t>
      </w:r>
      <w:r>
        <w:rPr>
          <w:sz w:val="28"/>
          <w:szCs w:val="28"/>
          <w:lang w:val="uk-UA"/>
        </w:rPr>
        <w:t xml:space="preserve"> </w:t>
      </w:r>
      <w:r>
        <w:rPr>
          <w:rStyle w:val="11"/>
          <w:sz w:val="28"/>
          <w:szCs w:val="28"/>
        </w:rPr>
        <w:t>у разі невідповідності пропозиції педагогічного працівника зазначеним вимогам, така пропозиція не може бути розглянута.</w:t>
      </w:r>
      <w:r>
        <w:rPr>
          <w:sz w:val="28"/>
          <w:szCs w:val="28"/>
          <w:lang w:val="uk-UA"/>
        </w:rPr>
        <w:t xml:space="preserve"> Отже, пропозиція оформляється педагогічним працівником у довільній формі, проте має містити всю інформацію, яка передбачена Порядком, з метою уможливлення її включення до річного плану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Згідно з абзацом першим пункту 15 Порядку з метою формування плану підвищення кваліфікації закладу освіти на поточний рік пропозиції педагогічних працівників розглядаються його педагогічною радою.</w:t>
      </w:r>
    </w:p>
    <w:p>
      <w:pPr>
        <w:pStyle w:val="17"/>
        <w:shd w:val="clear" w:color="auto" w:fill="FFFFFF"/>
        <w:spacing w:before="0" w:beforeAutospacing="0" w:after="0" w:afterAutospacing="0" w:line="276" w:lineRule="auto"/>
        <w:ind w:firstLine="708"/>
        <w:jc w:val="both"/>
        <w:rPr>
          <w:sz w:val="28"/>
          <w:szCs w:val="28"/>
          <w:lang w:val="uk-UA"/>
        </w:rPr>
      </w:pPr>
      <w:r>
        <w:rPr>
          <w:rStyle w:val="11"/>
          <w:sz w:val="28"/>
          <w:szCs w:val="28"/>
          <w:lang w:val="uk-UA"/>
        </w:rPr>
        <w:t>За згодою</w:t>
      </w:r>
      <w:r>
        <w:rPr>
          <w:sz w:val="28"/>
          <w:szCs w:val="28"/>
          <w:lang w:val="uk-UA"/>
        </w:rPr>
        <w:t xml:space="preserve"> педагогічного працівника його пропозиція може бути уточнена або змінена, зокрема з урахуванням обсягу видатків, передбачених на підвищення кваліфікації. За результатами розгляду педагогічна рада закладу освіти затверджує план підвищення кваліфікації на відповідний рік у межах коштів, затверджених у кошторисі закладу освіти за всіма джерелами надходжень на підвищення кваліфікації на відповідний рік (</w:t>
      </w:r>
      <w:r>
        <w:rPr>
          <w:rStyle w:val="11"/>
          <w:sz w:val="28"/>
          <w:szCs w:val="28"/>
          <w:lang w:val="uk-UA"/>
        </w:rPr>
        <w:t>за винятком</w:t>
      </w:r>
      <w:r>
        <w:rPr>
          <w:sz w:val="28"/>
          <w:szCs w:val="28"/>
          <w:lang w:val="uk-UA"/>
        </w:rPr>
        <w:t xml:space="preserve"> коштів самостійного фінансування підвищення кваліфікації педагогічними працівниками). </w:t>
      </w:r>
      <w:r>
        <w:rPr>
          <w:sz w:val="28"/>
          <w:szCs w:val="28"/>
        </w:rPr>
        <w:t>Слова «за винятком» не означають неможливості включення до відповідного плану будь-яких форм і видів підвищення кваліфікації, що здійснюються педагогічним працівником за власні кошти чи з інших джерел, не заборонених законодавством, тобто безоплатно для педагогічного працівника, та не здійснюються за рахунок бюджетних коштів. Ці слова означають, що педагогічна рада не може впливати на розмір таких коштів, «затверджуючи» їх у відповідному плані, тому в плані має бути відображена не конкретна сума коштів, а інформація про те, що таке підвищення кваліфікації здійснюється за рахунок «самостійного фінансування» чи «безоплатно». Слід також мати на увазі, що відповідно до пункту 8 порядку педагогічні працівники мають право на підвищення кваліфікації як</w:t>
      </w:r>
      <w:r>
        <w:rPr>
          <w:sz w:val="28"/>
          <w:szCs w:val="28"/>
          <w:lang w:val="uk-UA"/>
        </w:rPr>
        <w:t xml:space="preserve"> </w:t>
      </w:r>
      <w:r>
        <w:rPr>
          <w:rStyle w:val="11"/>
          <w:sz w:val="28"/>
          <w:szCs w:val="28"/>
        </w:rPr>
        <w:t>згідно з планом</w:t>
      </w:r>
      <w:r>
        <w:rPr>
          <w:sz w:val="28"/>
          <w:szCs w:val="28"/>
        </w:rPr>
        <w:t>, так і</w:t>
      </w:r>
      <w:r>
        <w:rPr>
          <w:sz w:val="28"/>
          <w:szCs w:val="28"/>
          <w:lang w:val="uk-UA"/>
        </w:rPr>
        <w:t xml:space="preserve"> </w:t>
      </w:r>
      <w:r>
        <w:rPr>
          <w:rStyle w:val="11"/>
          <w:sz w:val="28"/>
          <w:szCs w:val="28"/>
        </w:rPr>
        <w:t>поза межами плану</w:t>
      </w:r>
      <w:r>
        <w:rPr>
          <w:sz w:val="28"/>
          <w:szCs w:val="28"/>
          <w:lang w:val="uk-UA"/>
        </w:rPr>
        <w:t xml:space="preserve"> </w:t>
      </w:r>
      <w:r>
        <w:rPr>
          <w:sz w:val="28"/>
          <w:szCs w:val="28"/>
        </w:rPr>
        <w:t>підвищення кваліфікації закладу освіти на відповідний рік. Вочевидь, поза межами плану відбувається підвищення кваліфікації за рахунок самостійного фінансування педагогічним працівником. Обсяг підвищення кваліфікації «поза межами плану» може бути зарахований на загальних засадах до встановленого Законом мінімального обсягу годин на підвищення кваліфікації. Для такого зарахування підвищення кваліфікації має відповідати вимогам, визначеним Порядком. Підвищення кваліфікації, що відбувається</w:t>
      </w:r>
      <w:r>
        <w:rPr>
          <w:sz w:val="28"/>
          <w:szCs w:val="28"/>
          <w:lang w:val="uk-UA"/>
        </w:rPr>
        <w:t xml:space="preserve"> </w:t>
      </w:r>
      <w:r>
        <w:rPr>
          <w:rStyle w:val="11"/>
          <w:sz w:val="28"/>
          <w:szCs w:val="28"/>
        </w:rPr>
        <w:t>понад</w:t>
      </w:r>
      <w:r>
        <w:rPr>
          <w:sz w:val="28"/>
          <w:szCs w:val="28"/>
          <w:lang w:val="uk-UA"/>
        </w:rPr>
        <w:t xml:space="preserve"> </w:t>
      </w:r>
      <w:r>
        <w:rPr>
          <w:sz w:val="28"/>
          <w:szCs w:val="28"/>
        </w:rPr>
        <w:t>150 годин, є добровільною справою педагогічного працівника і не потребує будь-якого регулювання, визнання чи контролю з боку держави чи адміністрації закладу освіти.</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У пункті 19 Порядку визначено, що план підвищення кваліфікації закладу освіти на відповідний рік має включати: список педагогічних працівників, які повинні пройти підвищення кваліфікації у цьому році, теми (напрями, найменування), форми, види, обсяги (тривалість) підвищення кваліфікації (у годинах або кредитах ЄКТС), перелік суб'єктів підвищення кваліфікації, строки (графік), вартість підвищення кваліфікації (у разі встановлення) або примітку про безоплатний характер надання такої освітньої послуги чи про самостійне фінансування підвищення кваліфікації педагогічним працівником. План підвищення кваліфікації може також містити додаткову інформацію, що стосується підвищення кваліфікації педагогічних працівників. </w:t>
      </w:r>
      <w:r>
        <w:rPr>
          <w:sz w:val="28"/>
          <w:szCs w:val="28"/>
        </w:rPr>
        <w:t>Крім того, план підвищення кваліфікації може бути змінено протягом року</w:t>
      </w:r>
      <w:r>
        <w:rPr>
          <w:sz w:val="28"/>
          <w:szCs w:val="28"/>
          <w:lang w:val="uk-UA"/>
        </w:rPr>
        <w:t xml:space="preserve"> </w:t>
      </w:r>
      <w:r>
        <w:rPr>
          <w:rStyle w:val="11"/>
          <w:sz w:val="28"/>
          <w:szCs w:val="28"/>
        </w:rPr>
        <w:t>у порядку, визначеному педагогічною радою.</w:t>
      </w:r>
      <w:r>
        <w:rPr>
          <w:rStyle w:val="11"/>
          <w:sz w:val="28"/>
          <w:szCs w:val="28"/>
          <w:lang w:val="uk-UA"/>
        </w:rPr>
        <w:t xml:space="preserve"> </w:t>
      </w:r>
      <w:r>
        <w:rPr>
          <w:sz w:val="28"/>
          <w:szCs w:val="28"/>
          <w:lang w:val="uk-UA"/>
        </w:rPr>
        <w:t xml:space="preserve">Таким чином, педагогічна рада самостійно визначає механізм та процедури внесення таких змін (уточнень) і доводить їх до відома педагогічних працівників або оприлюднює на інформаційному стенді закладу освіти. </w:t>
      </w:r>
      <w:r>
        <w:rPr>
          <w:sz w:val="28"/>
          <w:szCs w:val="28"/>
        </w:rPr>
        <w:t>Типовим прикладом необхідності внесення змін до плану є прийняття на роботу педагогічного працівника або його звільнення.</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Також за погодженням педагогічного працівника, керівника відповідного закладу освіти (уповноваженої ним особи) і суб'єкта підвищення кваліфікації строки (графік) підвищення кваліфікації цього працівника протягом відповідного року можуть бути уточнені без внесення змін до плану підвищення кваліфікації. Таким чином, якщо ситуація потребує лише уточнення (зміни) конкретних строків підвищення кваліфікації, то це можна робити </w:t>
      </w:r>
      <w:r>
        <w:rPr>
          <w:rStyle w:val="11"/>
          <w:sz w:val="28"/>
          <w:szCs w:val="28"/>
          <w:lang w:val="uk-UA"/>
        </w:rPr>
        <w:t>без внесення змін до плану</w:t>
      </w:r>
      <w:r>
        <w:rPr>
          <w:sz w:val="28"/>
          <w:szCs w:val="28"/>
          <w:lang w:val="uk-UA"/>
        </w:rPr>
        <w:t xml:space="preserve"> за умови погодження з керівником закладу освіти і суб'єктом підвищення кваліфікації. Форма узгодження - довільна.</w:t>
      </w: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Договір про надання послуг з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Згідно з пунктом 20 Порядку на підставі затвердженого педагогічною радою річного плану підвищення кваліфікації керівник закладу освіти (уповноважена ним особа) забезпечує укладення між закладом освіти та суб'єктом (суб'єктами) підвищення кваліфікації договору про надання освітніх послуг з підвищення кваліфікації на відповідний рік.</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Важливо знати, що відповідно до абзацу другого пункту 32 Порядку укладення договору між керівником закладу освіти та суб'єктом підвищення кваліфікації із зазначенням джерела фінансування підвищення кваліфікації є обов'язковим, якщо підвищення кваліфікації здійснюється за рахунок коштів державного або місцевого бюджету, інших коштів,</w:t>
      </w:r>
      <w:r>
        <w:rPr>
          <w:rStyle w:val="11"/>
          <w:sz w:val="28"/>
          <w:szCs w:val="28"/>
          <w:lang w:val="uk-UA"/>
        </w:rPr>
        <w:t xml:space="preserve"> затверджених у кошторисі закладу освіти</w:t>
      </w:r>
      <w:r>
        <w:rPr>
          <w:sz w:val="28"/>
          <w:szCs w:val="28"/>
          <w:lang w:val="uk-UA"/>
        </w:rPr>
        <w:t xml:space="preserve"> на підвищення кваліфікації. Таким чином, якщо підвищення кваліфікації здійснюється на підставі затвердженого педагогічною радою плану підвищення кваліфікації, але відповідні освітні послуги надаються на безоплатній основі або за рахунок самостійного фінансування педагогічним працівником, то в таких випадках договір від імені закладу освіти не укладається.</w:t>
      </w: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Місце (місця) надання послуг з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Відповідно до пункту 9 Порядку суб'єкт підвищення кваліфікації може організовувати освітню діяльність у сфері підвищення кваліфікації за місцем провадження власної освітньої діяльності та/або за місцем роботи педагогічних працівників чи за іншим місцем (місцями) та/або дистанційно, якщо це передбачено договором та/або відповідною програмою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Місце проведення підвищення кваліфікації обумовлюється в договорі про підвищення кваліфікації та створює широкі можливості для закладів і суб'єктів підвищення кваліфікації організовувати його проведення у найбільш зручний і ефективний спосіб, а також може бути конкурентною перевагою при виборі педагогічними працівниками конкретного суб'єкта підвищення кваліфікації (наприклад, суб'єкт підвищення кваліфікації може не запрошувати педагогічних працівників до себе, а організувати реалізацію своєї програми на базі закладу, якщо в останньому чи в розташованих у територіальній близькості є декілька педагогічних працівників, які виявили бажання підвищувати кваліфікацію за цією програмою - тим самим уможливлюючи для закладу економію коштів).</w:t>
      </w: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Документи про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Відповідно до частини четвертої статті 51 Закону про ПЗСО за результатами</w:t>
      </w:r>
      <w:r>
        <w:rPr>
          <w:sz w:val="28"/>
          <w:szCs w:val="28"/>
        </w:rPr>
        <w:t> </w:t>
      </w:r>
      <w:r>
        <w:rPr>
          <w:rStyle w:val="11"/>
          <w:sz w:val="28"/>
          <w:szCs w:val="28"/>
          <w:lang w:val="uk-UA"/>
        </w:rPr>
        <w:t>успішного</w:t>
      </w:r>
      <w:r>
        <w:rPr>
          <w:sz w:val="28"/>
          <w:szCs w:val="28"/>
          <w:lang w:val="uk-UA"/>
        </w:rPr>
        <w:t xml:space="preserve"> підвищення кваліфікації кожен суб'єкт підвищення кваліфікації</w:t>
      </w:r>
      <w:r>
        <w:rPr>
          <w:sz w:val="28"/>
          <w:szCs w:val="28"/>
        </w:rPr>
        <w:t> </w:t>
      </w:r>
      <w:r>
        <w:rPr>
          <w:rStyle w:val="11"/>
          <w:sz w:val="28"/>
          <w:szCs w:val="28"/>
          <w:lang w:val="uk-UA"/>
        </w:rPr>
        <w:t>зобов'язаний</w:t>
      </w:r>
      <w:r>
        <w:rPr>
          <w:sz w:val="28"/>
          <w:szCs w:val="28"/>
        </w:rPr>
        <w:t> </w:t>
      </w:r>
      <w:r>
        <w:rPr>
          <w:sz w:val="28"/>
          <w:szCs w:val="28"/>
          <w:lang w:val="uk-UA"/>
        </w:rPr>
        <w:t xml:space="preserve">видати педагогічному працівникові документ про підвищення кваліфікації, що має містити, зокрема, опис </w:t>
      </w:r>
      <w:r>
        <w:rPr>
          <w:rStyle w:val="11"/>
          <w:sz w:val="28"/>
          <w:szCs w:val="28"/>
          <w:lang w:val="uk-UA"/>
        </w:rPr>
        <w:t xml:space="preserve">досягнутих </w:t>
      </w:r>
      <w:r>
        <w:rPr>
          <w:sz w:val="28"/>
          <w:szCs w:val="28"/>
          <w:lang w:val="uk-UA"/>
        </w:rPr>
        <w:t>ним результатів навчання.</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З метою фіксування факту «успішного» підвищення кваліфікації суб'єкт підвищення кваліфікації має встановлювати належні види оцінювання досягнутих результатів, про що варто зазначати у програмі підвищення кваліфікації, а також у документі про підвищення кваліфікації, що буде формувати рівень довіри до зафіксованих у документі результатів навчання.</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Відповідно до пункту 13 Порядку технічний опис, дизайн, спосіб виготовлення, порядок видачі та обліку документа про підвищення кваліфікації визначається відповідним суб'єктом підвищення кваліфікації, але має містити таку інформацію:</w:t>
      </w:r>
    </w:p>
    <w:p>
      <w:pPr>
        <w:numPr>
          <w:ilvl w:val="0"/>
          <w:numId w:val="31"/>
        </w:numPr>
        <w:shd w:val="clear" w:color="auto" w:fill="FFFFFF"/>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повне найменування суб'єкта підвищення кваліфікації (для юридичних осіб) або прізвище, ім'я та по батькові (у разі наявності) фізичної особи, яка надає освітні послуги з підвищення кваліфікації (для фізичних осіб, у тому числі фізичних осіб - підприємців);</w:t>
      </w:r>
    </w:p>
    <w:p>
      <w:pPr>
        <w:numPr>
          <w:ilvl w:val="0"/>
          <w:numId w:val="31"/>
        </w:numPr>
        <w:shd w:val="clear" w:color="auto" w:fill="FFFFFF"/>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прізвище та ініціали (ініціал імені) педагогічного працівника, який підвищив кваліфікацію;</w:t>
      </w:r>
    </w:p>
    <w:p>
      <w:pPr>
        <w:numPr>
          <w:ilvl w:val="0"/>
          <w:numId w:val="31"/>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форму, вид, тему (напрям, найменування) підвищення кваліфікації та його обсяг (тривалість) в годинах та/або кредитах ЄКТС;</w:t>
      </w:r>
    </w:p>
    <w:p>
      <w:pPr>
        <w:numPr>
          <w:ilvl w:val="0"/>
          <w:numId w:val="31"/>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опис досягнутих результатів навчання;</w:t>
      </w:r>
    </w:p>
    <w:p>
      <w:pPr>
        <w:numPr>
          <w:ilvl w:val="0"/>
          <w:numId w:val="31"/>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дату видачі та обліковий запис документа про підвищення кваліфікації;</w:t>
      </w:r>
    </w:p>
    <w:p>
      <w:pPr>
        <w:numPr>
          <w:ilvl w:val="0"/>
          <w:numId w:val="31"/>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найменування посади (у разі наявності), прізвище, ініціали (ініціал імені) особи, яка підписала документ від імені суб'єкта підвищення кваліфікації та її підпис.</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Документи про підвищення кваліфікації, що були видані за результатами проходження підвищення кваліфікації у суб'єктів підвищення кваліфікації - нерезидентів України, можуть містити іншу інформацію, ніж визначено Порядком, та потребують визнання педагогічною радою закладу освіти згідно з цим Порядком (наприклад, відкриті онлайн-курси іноземних університетів, міжнародні програми, спеціальні мовні кваліфікації тощо).</w:t>
      </w:r>
    </w:p>
    <w:p>
      <w:pPr>
        <w:pStyle w:val="17"/>
        <w:shd w:val="clear" w:color="auto" w:fill="FFFFFF"/>
        <w:spacing w:before="0" w:beforeAutospacing="0" w:after="0" w:afterAutospacing="0" w:line="276" w:lineRule="auto"/>
        <w:jc w:val="both"/>
        <w:rPr>
          <w:sz w:val="28"/>
          <w:szCs w:val="28"/>
        </w:rPr>
      </w:pPr>
      <w:r>
        <w:rPr>
          <w:sz w:val="28"/>
          <w:szCs w:val="28"/>
          <w:lang w:val="uk-UA"/>
        </w:rPr>
        <w:t xml:space="preserve">Перелік виданих документів про підвищення кваліфікації має бути оприлюднений на вебсайті суб'єкта підвищення кваліфікації протягом 15 календарних днів після їх видачі. </w:t>
      </w:r>
      <w:r>
        <w:rPr>
          <w:sz w:val="28"/>
          <w:szCs w:val="28"/>
        </w:rPr>
        <w:t>Форма представлення такого переліку є довільною, але з метою уможливлення перевірки справжності виданих документів варто оприлюднювати таку мінімальну інформацію:</w:t>
      </w:r>
    </w:p>
    <w:p>
      <w:pPr>
        <w:numPr>
          <w:ilvl w:val="0"/>
          <w:numId w:val="32"/>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прізвище та ініціали (пніціал імені) особи, яка підвищила кваліфікацію;</w:t>
      </w:r>
    </w:p>
    <w:p>
      <w:pPr>
        <w:numPr>
          <w:ilvl w:val="0"/>
          <w:numId w:val="32"/>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форму, вид, тему (напрям, найменування) підвищення кваліфікації та його обсяг (тривалість) в годинах та/або кредитах ЄКТС;</w:t>
      </w:r>
    </w:p>
    <w:p>
      <w:pPr>
        <w:numPr>
          <w:ilvl w:val="0"/>
          <w:numId w:val="32"/>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дату видачі та обліковий запис документа про підвищення кваліфікації.</w:t>
      </w:r>
    </w:p>
    <w:p>
      <w:pPr>
        <w:pStyle w:val="17"/>
        <w:shd w:val="clear" w:color="auto" w:fill="FFFFFF"/>
        <w:spacing w:before="0" w:beforeAutospacing="0" w:after="0" w:afterAutospacing="0" w:line="276" w:lineRule="auto"/>
        <w:jc w:val="both"/>
        <w:rPr>
          <w:sz w:val="28"/>
          <w:szCs w:val="28"/>
        </w:rPr>
      </w:pPr>
      <w:r>
        <w:rPr>
          <w:sz w:val="28"/>
          <w:szCs w:val="28"/>
        </w:rPr>
        <w:t>Звертаємо увагу, що відповідно до Закону України «Про захист персональних даних» зазначена вище інформація не належить до персональних даних та може бути розміщена в публічному доступі без додаткової згоди на те педагогічних працівників.</w:t>
      </w:r>
    </w:p>
    <w:p>
      <w:pPr>
        <w:pStyle w:val="17"/>
        <w:shd w:val="clear" w:color="auto" w:fill="FFFFFF"/>
        <w:spacing w:before="0" w:beforeAutospacing="0" w:after="0" w:afterAutospacing="0" w:line="276" w:lineRule="auto"/>
        <w:jc w:val="both"/>
        <w:rPr>
          <w:sz w:val="28"/>
          <w:szCs w:val="28"/>
        </w:rPr>
      </w:pPr>
      <w:r>
        <w:rPr>
          <w:sz w:val="28"/>
          <w:szCs w:val="28"/>
        </w:rPr>
        <w:t>Також Порядок визначає, що педагогічний працівник щороку не пізніше 25 грудня має інформувати керівника закладу освіти (уповноважену ним особу) про стан проходження підвищення кваліфікації у поточному році з додаванням</w:t>
      </w:r>
      <w:r>
        <w:rPr>
          <w:rStyle w:val="11"/>
          <w:sz w:val="28"/>
          <w:szCs w:val="28"/>
          <w:lang w:val="uk-UA"/>
        </w:rPr>
        <w:t xml:space="preserve"> </w:t>
      </w:r>
      <w:r>
        <w:rPr>
          <w:rStyle w:val="11"/>
          <w:sz w:val="28"/>
          <w:szCs w:val="28"/>
        </w:rPr>
        <w:t>копій</w:t>
      </w:r>
      <w:r>
        <w:rPr>
          <w:sz w:val="28"/>
          <w:szCs w:val="28"/>
          <w:lang w:val="uk-UA"/>
        </w:rPr>
        <w:t xml:space="preserve"> </w:t>
      </w:r>
      <w:r>
        <w:rPr>
          <w:sz w:val="28"/>
          <w:szCs w:val="28"/>
        </w:rPr>
        <w:t>отриманих документів про підвищення кваліфікації (сертифікатів, свідоцтв тощо), які після цього мають зберігатися в особовій справі працівника відповідно до законодавства. Місце, умови та формат зберігання оригіналів таких документів педагогічний працівник визначає самостійно.</w:t>
      </w:r>
    </w:p>
    <w:p>
      <w:pPr>
        <w:pStyle w:val="17"/>
        <w:shd w:val="clear" w:color="auto" w:fill="BEBEBE" w:themeFill="background1" w:themeFillShade="BF"/>
        <w:spacing w:before="0" w:beforeAutospacing="0" w:after="0" w:afterAutospacing="0" w:line="276" w:lineRule="auto"/>
        <w:jc w:val="center"/>
        <w:rPr>
          <w:sz w:val="28"/>
          <w:szCs w:val="28"/>
        </w:rPr>
      </w:pPr>
      <w:r>
        <w:rPr>
          <w:rStyle w:val="11"/>
          <w:sz w:val="28"/>
          <w:szCs w:val="28"/>
        </w:rPr>
        <w:t>Акти приймання-передачі наданих послуг з підвищення кваліфікації</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Відповідно до пункту 36 Порядку факт підвищення кваліфікації педагогічного працівника підтверджується актом приймання-передачі наданих освітніх послуг з підвищення кваліфікації, який складається в установленому законодавством порядку, підписується керівником закладу освіти або уповноваженою ним особою та суб'єктом підвищення кваліфікації. Такий </w:t>
      </w:r>
      <w:r>
        <w:rPr>
          <w:rStyle w:val="11"/>
          <w:sz w:val="28"/>
          <w:szCs w:val="28"/>
          <w:lang w:val="uk-UA"/>
        </w:rPr>
        <w:t>акт є підставою для оплати послуг суб'єкта підвищення кваліфікації згідно з укладеною угодою</w:t>
      </w:r>
      <w:r>
        <w:rPr>
          <w:sz w:val="28"/>
          <w:szCs w:val="28"/>
          <w:lang w:val="uk-UA"/>
        </w:rPr>
        <w:t xml:space="preserve"> щодо підвищення кваліфікації. </w:t>
      </w:r>
      <w:r>
        <w:rPr>
          <w:sz w:val="28"/>
          <w:szCs w:val="28"/>
        </w:rPr>
        <w:t>Акцентуємо увагу на тому, що акт не має складатися, якщо договір не укладався, а послуги з підвищення кваліфікації педагогічний працівник оплачував самостійно чи отримував безоплатно.</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Варто знати, що акт є первинним бухгалтерським документом, може бути складений у паперовій або в електронній формі, та має містити всі обов'язкові реквізити, визначені частиною другою статті 9 Закону України «Про бухгалтерський облік та фінансову звітність в Україні»:</w:t>
      </w:r>
    </w:p>
    <w:p>
      <w:pPr>
        <w:numPr>
          <w:ilvl w:val="0"/>
          <w:numId w:val="33"/>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назву документа (форми) і дату його складання;</w:t>
      </w:r>
    </w:p>
    <w:p>
      <w:pPr>
        <w:numPr>
          <w:ilvl w:val="0"/>
          <w:numId w:val="34"/>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назву суб'єкта підвищення кваліфікації;</w:t>
      </w:r>
    </w:p>
    <w:p>
      <w:pPr>
        <w:numPr>
          <w:ilvl w:val="0"/>
          <w:numId w:val="34"/>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зміст та обсяг господарської операції (підвищення кваліфікації), одиницю виміру господарської операції (у годинах та/або кредитах ЄКТС);</w:t>
      </w:r>
    </w:p>
    <w:p>
      <w:pPr>
        <w:numPr>
          <w:ilvl w:val="0"/>
          <w:numId w:val="34"/>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посади осіб, відповідальних за здійснення господарської операції і правильність її оформлення;</w:t>
      </w:r>
    </w:p>
    <w:p>
      <w:pPr>
        <w:numPr>
          <w:ilvl w:val="0"/>
          <w:numId w:val="34"/>
        </w:numPr>
        <w:shd w:val="clear" w:color="auto" w:fill="FFFFFF"/>
        <w:spacing w:after="0"/>
        <w:ind w:left="0"/>
        <w:jc w:val="both"/>
        <w:rPr>
          <w:rFonts w:ascii="Times New Roman" w:hAnsi="Times New Roman" w:cs="Times New Roman"/>
          <w:sz w:val="28"/>
          <w:szCs w:val="28"/>
        </w:rPr>
      </w:pPr>
      <w:r>
        <w:rPr>
          <w:rFonts w:ascii="Times New Roman" w:hAnsi="Times New Roman" w:cs="Times New Roman"/>
          <w:sz w:val="28"/>
          <w:szCs w:val="28"/>
        </w:rPr>
        <w:t>особистий підпис або інші дані, що дають змогу ідентифікувати особу, яка брала участь у здійсненні господарської операції.</w:t>
      </w:r>
    </w:p>
    <w:p>
      <w:pPr>
        <w:pStyle w:val="17"/>
        <w:shd w:val="clear" w:color="auto" w:fill="FFFFFF"/>
        <w:spacing w:before="0" w:beforeAutospacing="0" w:after="0" w:afterAutospacing="0" w:line="276" w:lineRule="auto"/>
        <w:jc w:val="both"/>
        <w:rPr>
          <w:sz w:val="28"/>
          <w:szCs w:val="28"/>
        </w:rPr>
      </w:pPr>
      <w:r>
        <w:rPr>
          <w:sz w:val="28"/>
          <w:szCs w:val="28"/>
        </w:rPr>
        <w:t>Первинні документи, складені в електронній формі, застосовуються у бухгалтерському обліку за умови дотримання вимог законодавства про електронні документи та електронний документообіг.</w:t>
      </w:r>
    </w:p>
    <w:p>
      <w:pPr>
        <w:pStyle w:val="17"/>
        <w:shd w:val="clear" w:color="auto" w:fill="FFFFFF"/>
        <w:spacing w:before="0" w:beforeAutospacing="0" w:after="0" w:afterAutospacing="0" w:line="276" w:lineRule="auto"/>
        <w:jc w:val="both"/>
        <w:rPr>
          <w:sz w:val="28"/>
          <w:szCs w:val="28"/>
        </w:rPr>
      </w:pPr>
      <w:r>
        <w:rPr>
          <w:sz w:val="28"/>
          <w:szCs w:val="28"/>
        </w:rPr>
        <w:t>Неістотні недоліки в документах, що містять відомості про господарську операцію, не є підставою для невизнання господарської операції, за умови, що такі недоліки не перешкоджають можливості ідентифікувати особу, яка брала участь у здійсненні господарської операції, та містять відомості про дату складання документа, назву підприємства, від імені якого складено документ, зміст та обсяг господарської операції тощо.</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Варто розуміти, що </w:t>
      </w:r>
      <w:r>
        <w:rPr>
          <w:rStyle w:val="11"/>
          <w:sz w:val="28"/>
          <w:szCs w:val="28"/>
          <w:lang w:val="uk-UA"/>
        </w:rPr>
        <w:t>акт підтверджує факт надання послу</w:t>
      </w:r>
      <w:r>
        <w:rPr>
          <w:sz w:val="28"/>
          <w:szCs w:val="28"/>
          <w:lang w:val="uk-UA"/>
        </w:rPr>
        <w:t xml:space="preserve">г з підвищення кваліфікації, </w:t>
      </w:r>
      <w:r>
        <w:rPr>
          <w:rStyle w:val="11"/>
          <w:sz w:val="28"/>
          <w:szCs w:val="28"/>
          <w:lang w:val="uk-UA"/>
        </w:rPr>
        <w:t>а не рівень їх якості чи рівень здобутих</w:t>
      </w:r>
      <w:r>
        <w:rPr>
          <w:sz w:val="28"/>
          <w:szCs w:val="28"/>
          <w:lang w:val="uk-UA"/>
        </w:rPr>
        <w:t xml:space="preserve"> педагогічним працівником результатів навчання. Тому, навіть за умови необхідності додаткового визнання педагогічною радою відповідних результатів навчання акт має бути підписаний керівником закладу освіти протягом визначеного договором строку за умови відсутності сумнівів щодо факту надання відповідних послуг.</w:t>
      </w:r>
    </w:p>
    <w:p>
      <w:pPr>
        <w:pStyle w:val="17"/>
        <w:shd w:val="clear" w:color="auto" w:fill="BEBEBE" w:themeFill="background1" w:themeFillShade="BF"/>
        <w:spacing w:before="0" w:beforeAutospacing="0" w:after="0" w:afterAutospacing="0" w:line="276" w:lineRule="auto"/>
        <w:jc w:val="center"/>
        <w:rPr>
          <w:rStyle w:val="11"/>
          <w:sz w:val="28"/>
          <w:szCs w:val="28"/>
          <w:lang w:val="uk-UA"/>
        </w:rPr>
      </w:pPr>
      <w:r>
        <w:rPr>
          <w:rStyle w:val="11"/>
          <w:sz w:val="28"/>
          <w:szCs w:val="28"/>
          <w:lang w:val="uk-UA"/>
        </w:rPr>
        <w:t xml:space="preserve">Визнання результатів підвищення </w:t>
      </w: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кваліфікації педагогічних працівників</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Згідно з частиною другою статті 59 Закону результати підвищення кваліфікації у закладах освіти, що мають ліцензію на підвищення кваліфікації або провадять освітню діяльність за акредитованою освітньою програмою, не потребують окремого визнання і підтвердження. Згідно з пунктом 25 Порядку за результатами підвищення кваліфікації такі суб'єкти можуть присвоювати педагогічним працівникам повні та/або часткові професійні та/або освітні кваліфікації у встановленому законодавством порядку. Але для цього, вочевидь, </w:t>
      </w:r>
      <w:r>
        <w:rPr>
          <w:rStyle w:val="11"/>
          <w:sz w:val="28"/>
          <w:szCs w:val="28"/>
          <w:lang w:val="uk-UA"/>
        </w:rPr>
        <w:t xml:space="preserve">результати </w:t>
      </w:r>
      <w:r>
        <w:rPr>
          <w:sz w:val="28"/>
          <w:szCs w:val="28"/>
          <w:lang w:val="uk-UA"/>
        </w:rPr>
        <w:t>підвищення кваліфікації мають відповідати результатам навчання, які вимагаються для присвоєння відповідних кваліфікацій, 1 мають бути засвідчені (підтверджені) в установленому законодавством порядку.</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Результати ж підвищення кваліфікації педагогічного працівника у інших суб'єктів освітньої діяльності, фізичних та юридичних осіб мають визнаватися </w:t>
      </w:r>
      <w:r>
        <w:rPr>
          <w:rStyle w:val="11"/>
          <w:sz w:val="28"/>
          <w:szCs w:val="28"/>
          <w:lang w:val="uk-UA"/>
        </w:rPr>
        <w:t>окремим рішенням</w:t>
      </w:r>
      <w:r>
        <w:rPr>
          <w:sz w:val="28"/>
          <w:szCs w:val="28"/>
          <w:lang w:val="uk-UA"/>
        </w:rPr>
        <w:t xml:space="preserve"> педагогічної ради. </w:t>
      </w:r>
      <w:r>
        <w:rPr>
          <w:rStyle w:val="11"/>
          <w:sz w:val="28"/>
          <w:szCs w:val="28"/>
        </w:rPr>
        <w:t>Порядок визнання</w:t>
      </w:r>
      <w:r>
        <w:rPr>
          <w:sz w:val="28"/>
          <w:szCs w:val="28"/>
          <w:lang w:val="uk-UA"/>
        </w:rPr>
        <w:t xml:space="preserve"> </w:t>
      </w:r>
      <w:r>
        <w:rPr>
          <w:sz w:val="28"/>
          <w:szCs w:val="28"/>
        </w:rPr>
        <w:t>результатів підвищення кваліфікації у таких суб’єктів </w:t>
      </w:r>
      <w:r>
        <w:rPr>
          <w:rStyle w:val="11"/>
          <w:sz w:val="28"/>
          <w:szCs w:val="28"/>
        </w:rPr>
        <w:t>встановлюється педагогічною</w:t>
      </w:r>
      <w:r>
        <w:rPr>
          <w:sz w:val="28"/>
          <w:szCs w:val="28"/>
          <w:lang w:val="uk-UA"/>
        </w:rPr>
        <w:t xml:space="preserve"> </w:t>
      </w:r>
      <w:r>
        <w:rPr>
          <w:rStyle w:val="11"/>
          <w:sz w:val="28"/>
          <w:szCs w:val="28"/>
        </w:rPr>
        <w:t>радою</w:t>
      </w:r>
      <w:r>
        <w:rPr>
          <w:sz w:val="28"/>
          <w:szCs w:val="28"/>
        </w:rPr>
        <w:t>. У пункті 25 Порядку визначені основні процедури такого визнання.</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Так, зокрема, педагогічний працівник протягом одного місяця після завершення підвищення кваліфікації має подати до педагогічної ради клопотання про визнання результатів підвищення кваліфікації та документ про проходження підвищення кваліфікації. </w:t>
      </w:r>
      <w:r>
        <w:rPr>
          <w:sz w:val="28"/>
          <w:szCs w:val="28"/>
        </w:rPr>
        <w:t>Таке клопотання має бути розглянуте на засіданні педагогічної ради протягом місяця з дня його подання.</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Для визнання результатів підвищення кваліфікації педагогічна рада має заслухати педагогічного працівника щодо </w:t>
      </w:r>
      <w:r>
        <w:rPr>
          <w:rStyle w:val="11"/>
          <w:sz w:val="28"/>
          <w:szCs w:val="28"/>
          <w:lang w:val="uk-UA"/>
        </w:rPr>
        <w:t>якості</w:t>
      </w:r>
      <w:r>
        <w:rPr>
          <w:sz w:val="28"/>
          <w:szCs w:val="28"/>
          <w:lang w:val="uk-UA"/>
        </w:rPr>
        <w:t xml:space="preserve"> реалізації програми підвищення кваліфікації, </w:t>
      </w:r>
      <w:r>
        <w:rPr>
          <w:rStyle w:val="11"/>
          <w:sz w:val="28"/>
          <w:szCs w:val="28"/>
          <w:lang w:val="uk-UA"/>
        </w:rPr>
        <w:t>результатів</w:t>
      </w:r>
      <w:r>
        <w:rPr>
          <w:sz w:val="28"/>
          <w:szCs w:val="28"/>
          <w:lang w:val="uk-UA"/>
        </w:rPr>
        <w:t xml:space="preserve"> підвищення кваліфікації, дотримання суб’єктом підвищення кваліфікації умов договору та повинна прийняти рішення про визнання або невизнання результатів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У разі невизнання результатів підвищення кваліфікації педагогічна рада може надати рекомендації педагогічному працівнику щодо повторного підвищення кваліфікації у інших суб’єктів підвищення кваліфікації та/або прийняти рішення щодо неможливості подальшого включення такого суб’єкта підвищення кваліфікації до плану підвищення кваліфікації закладу освіти до вжиття ним дієвих заходів з підвищення якості надання освітніх послуг. Вочевидь, питання встановлення факту «вжиття» суб’єктом підвищення кваліфікації достатніх «дієвих заходів» з метою підвищення якості надання освітніх послуг належить до компетенції педагогічної ради.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У разі прийняття педагогічною радою позитивного рішення відповідний суб’єкт підвищення кваліфікації може бути обраний педагогічними працівниками в якості надавача відповідних освітніх послуг і включений до річного плану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Оскільки Порядок вже визначив основні засади процедури визнання, то педагогічна рада у затвердженому нею внутрішньому порядку визнання, крім деталізації певних процедур, мала б також зосередити свою увагу на </w:t>
      </w:r>
      <w:r>
        <w:rPr>
          <w:rStyle w:val="11"/>
          <w:sz w:val="28"/>
          <w:szCs w:val="28"/>
          <w:lang w:val="uk-UA"/>
        </w:rPr>
        <w:t>умовах</w:t>
      </w:r>
      <w:r>
        <w:rPr>
          <w:sz w:val="28"/>
          <w:szCs w:val="28"/>
          <w:lang w:val="uk-UA"/>
        </w:rPr>
        <w:t xml:space="preserve"> визнання результатів підвищення кваліфікації у таких суб’єктів, що мають бути невід’ємним складником такого порядку. </w:t>
      </w:r>
      <w:r>
        <w:rPr>
          <w:sz w:val="28"/>
          <w:szCs w:val="28"/>
        </w:rPr>
        <w:t>Однією з основних умов такого визнання має бути</w:t>
      </w:r>
      <w:r>
        <w:rPr>
          <w:sz w:val="28"/>
          <w:szCs w:val="28"/>
          <w:lang w:val="uk-UA"/>
        </w:rPr>
        <w:t xml:space="preserve"> </w:t>
      </w:r>
      <w:r>
        <w:rPr>
          <w:rStyle w:val="11"/>
          <w:sz w:val="28"/>
          <w:szCs w:val="28"/>
        </w:rPr>
        <w:t>набуття</w:t>
      </w:r>
      <w:r>
        <w:rPr>
          <w:sz w:val="28"/>
          <w:szCs w:val="28"/>
          <w:lang w:val="uk-UA"/>
        </w:rPr>
        <w:t xml:space="preserve"> </w:t>
      </w:r>
      <w:r>
        <w:rPr>
          <w:sz w:val="28"/>
          <w:szCs w:val="28"/>
        </w:rPr>
        <w:t>педагогічним працівником</w:t>
      </w:r>
      <w:r>
        <w:rPr>
          <w:sz w:val="28"/>
          <w:szCs w:val="28"/>
          <w:lang w:val="uk-UA"/>
        </w:rPr>
        <w:t xml:space="preserve"> </w:t>
      </w:r>
      <w:r>
        <w:rPr>
          <w:rStyle w:val="11"/>
          <w:sz w:val="28"/>
          <w:szCs w:val="28"/>
        </w:rPr>
        <w:t>нових</w:t>
      </w:r>
      <w:r>
        <w:rPr>
          <w:sz w:val="28"/>
          <w:szCs w:val="28"/>
          <w:lang w:val="uk-UA"/>
        </w:rPr>
        <w:t xml:space="preserve"> </w:t>
      </w:r>
      <w:r>
        <w:rPr>
          <w:sz w:val="28"/>
          <w:szCs w:val="28"/>
        </w:rPr>
        <w:t>та/або</w:t>
      </w:r>
      <w:r>
        <w:rPr>
          <w:sz w:val="28"/>
          <w:szCs w:val="28"/>
          <w:lang w:val="uk-UA"/>
        </w:rPr>
        <w:t xml:space="preserve"> </w:t>
      </w:r>
      <w:r>
        <w:rPr>
          <w:rStyle w:val="11"/>
          <w:sz w:val="28"/>
          <w:szCs w:val="28"/>
        </w:rPr>
        <w:t>вдосконалення наявних</w:t>
      </w:r>
      <w:r>
        <w:rPr>
          <w:sz w:val="28"/>
          <w:szCs w:val="28"/>
          <w:lang w:val="uk-UA"/>
        </w:rPr>
        <w:t xml:space="preserve"> </w:t>
      </w:r>
      <w:r>
        <w:rPr>
          <w:sz w:val="28"/>
          <w:szCs w:val="28"/>
        </w:rPr>
        <w:t>компетентностей (знань, вмінь, навичок тощо).</w:t>
      </w:r>
    </w:p>
    <w:p>
      <w:pPr>
        <w:pStyle w:val="17"/>
        <w:shd w:val="clear" w:color="auto" w:fill="FFFFFF"/>
        <w:spacing w:before="0" w:beforeAutospacing="0" w:after="0" w:afterAutospacing="0" w:line="276" w:lineRule="auto"/>
        <w:ind w:firstLine="708"/>
        <w:jc w:val="both"/>
        <w:rPr>
          <w:rStyle w:val="11"/>
          <w:b w:val="0"/>
          <w:bCs w:val="0"/>
          <w:sz w:val="28"/>
          <w:szCs w:val="28"/>
          <w:lang w:val="uk-UA"/>
        </w:rPr>
      </w:pPr>
      <w:r>
        <w:rPr>
          <w:sz w:val="28"/>
          <w:szCs w:val="28"/>
          <w:lang w:val="uk-UA"/>
        </w:rPr>
        <w:t>Результати підвищення кваліфікації, здобуті після набрання чинності Законом України «Про освіту» (після 28 вересня 2017 року) у суб’єктів підвищення кваліфікації, що не мають ліцензії на підвищення кваліфікації або акредитованої освітньої програми, підлягають визнанню на загальних засадах.</w:t>
      </w:r>
    </w:p>
    <w:p>
      <w:pPr>
        <w:pStyle w:val="17"/>
        <w:shd w:val="clear" w:color="auto" w:fill="BEBEBE" w:themeFill="background1" w:themeFillShade="BF"/>
        <w:spacing w:before="0" w:beforeAutospacing="0" w:after="0" w:afterAutospacing="0" w:line="276" w:lineRule="auto"/>
        <w:jc w:val="center"/>
        <w:rPr>
          <w:rStyle w:val="11"/>
          <w:sz w:val="28"/>
          <w:szCs w:val="28"/>
          <w:lang w:val="uk-UA"/>
        </w:rPr>
      </w:pPr>
      <w:r>
        <w:rPr>
          <w:rStyle w:val="11"/>
          <w:sz w:val="28"/>
          <w:szCs w:val="28"/>
          <w:lang w:val="uk-UA"/>
        </w:rPr>
        <w:t xml:space="preserve">Визнання окремих видів діяльності педагогічних працівників </w:t>
      </w:r>
    </w:p>
    <w:p>
      <w:pPr>
        <w:pStyle w:val="17"/>
        <w:shd w:val="clear" w:color="auto" w:fill="BEBEBE" w:themeFill="background1" w:themeFillShade="BF"/>
        <w:spacing w:before="0" w:beforeAutospacing="0" w:after="0" w:afterAutospacing="0" w:line="276" w:lineRule="auto"/>
        <w:jc w:val="center"/>
        <w:rPr>
          <w:sz w:val="28"/>
          <w:szCs w:val="28"/>
          <w:lang w:val="uk-UA"/>
        </w:rPr>
      </w:pPr>
      <w:r>
        <w:rPr>
          <w:rStyle w:val="11"/>
          <w:sz w:val="28"/>
          <w:szCs w:val="28"/>
          <w:lang w:val="uk-UA"/>
        </w:rPr>
        <w:t>як результатів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Окремі види діяльності не є власне підвищенням кваліфікації, проте за своїми результатами можуть бути визнані (зараховані) як підвищення кваліфікації саме у зв’язку з тим, що особа під час відповідної діяльності здобула нові та/або вдосконалила раніше здобуті компетентності у межах професійної діяльності або галузі знань.</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Відповідно до пункту 26 Порядку </w:t>
      </w:r>
      <w:r>
        <w:rPr>
          <w:rStyle w:val="11"/>
          <w:sz w:val="28"/>
          <w:szCs w:val="28"/>
          <w:lang w:val="uk-UA"/>
        </w:rPr>
        <w:t>окремі види діяльності педагогічних працівників</w:t>
      </w:r>
      <w:r>
        <w:rPr>
          <w:sz w:val="28"/>
          <w:szCs w:val="28"/>
          <w:lang w:val="uk-UA"/>
        </w:rPr>
        <w:t xml:space="preserve"> (зокрема самоосвіта, здобуття наукового ступеня чи ступеня вищої освіти) </w:t>
      </w:r>
      <w:r>
        <w:rPr>
          <w:rStyle w:val="11"/>
          <w:sz w:val="28"/>
          <w:szCs w:val="28"/>
          <w:lang w:val="uk-UA"/>
        </w:rPr>
        <w:t>можуть бути визнані</w:t>
      </w:r>
      <w:r>
        <w:rPr>
          <w:sz w:val="28"/>
          <w:szCs w:val="28"/>
          <w:lang w:val="uk-UA"/>
        </w:rPr>
        <w:t xml:space="preserve"> як підвищення кваліфікації відповідно до цього Порядку. Процедура зарахування окремих видів діяльності, їх результатів та обсяг підвищення кваліфікації педагогічних працівників визначаються педагогічними радами закладів освіти.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У пункті 25 Порядку зазначено, що у разі підвищення кваліфікації шляхом інформальної освіти (самоосвіти) замість документа про підвищення кваліфікації подається звіт про результати підвищення кваліфікації або творча робота, персональне розроблення електронного освітнього ресурсу, що виконані в процесі (за результатами) підвищення кваліфікації та оприлюднені на вебсайті закладу освіти та/або в електронному портфоліо педагогічного працівника (у разі наявності). Форму звіту визначає відповідний заклад освіти.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Відповідно до пункту 29 Порядку результати інформальної освіти (самоосвіти) педагогічних працівників, </w:t>
      </w:r>
      <w:r>
        <w:rPr>
          <w:rStyle w:val="11"/>
          <w:sz w:val="28"/>
          <w:szCs w:val="28"/>
          <w:lang w:val="uk-UA"/>
        </w:rPr>
        <w:t>які мають</w:t>
      </w:r>
      <w:r>
        <w:rPr>
          <w:sz w:val="28"/>
          <w:szCs w:val="28"/>
          <w:lang w:val="uk-UA"/>
        </w:rPr>
        <w:t xml:space="preserve"> науковий ступінь та/або вчене, почесне чи педагогічне звання (крім звання «старший вчитель»), </w:t>
      </w:r>
      <w:r>
        <w:rPr>
          <w:rStyle w:val="11"/>
          <w:sz w:val="28"/>
          <w:szCs w:val="28"/>
          <w:lang w:val="uk-UA"/>
        </w:rPr>
        <w:t>можуть бути визнані</w:t>
      </w:r>
      <w:r>
        <w:rPr>
          <w:sz w:val="28"/>
          <w:szCs w:val="28"/>
          <w:lang w:val="uk-UA"/>
        </w:rPr>
        <w:t xml:space="preserve"> педагогічними радами відповідних закладів як підвищення кваліфікації педагогічних працівників. Обсяг підвищення кваліфікації шляхом інформальної освіти (самоосвіти) зараховується відповідно до визнаних результатів навчання, але </w:t>
      </w:r>
      <w:r>
        <w:rPr>
          <w:rStyle w:val="11"/>
          <w:sz w:val="28"/>
          <w:szCs w:val="28"/>
          <w:lang w:val="uk-UA"/>
        </w:rPr>
        <w:t>не більше 30 годин</w:t>
      </w:r>
      <w:r>
        <w:rPr>
          <w:sz w:val="28"/>
          <w:szCs w:val="28"/>
          <w:lang w:val="uk-UA"/>
        </w:rPr>
        <w:t xml:space="preserve"> або одного кредиту ЄКТС </w:t>
      </w:r>
      <w:r>
        <w:rPr>
          <w:rStyle w:val="11"/>
          <w:sz w:val="28"/>
          <w:szCs w:val="28"/>
          <w:lang w:val="uk-UA"/>
        </w:rPr>
        <w:t>на рік</w:t>
      </w:r>
      <w:r>
        <w:rPr>
          <w:sz w:val="28"/>
          <w:szCs w:val="28"/>
          <w:lang w:val="uk-UA"/>
        </w:rPr>
        <w:t>.</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Акцентуємо увагу, що мова йде лише про тих педагогічних працівників, які мають науковий ступінь та/або вчене, почесне чи педагогічне звання. При цьому, наявність педагогічного звання «старший вчитель» не є достатнім для можливості визнання результатів самоосвіти як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Згідно з пунктом 30 Порядку здобуття першого (бакалаврського), другого (магістерського) рівня вищої освіти, третього (освітньо-наукового/освітньо-творчого) рівня або наукового рівня вищої освіти </w:t>
      </w:r>
      <w:r>
        <w:rPr>
          <w:rStyle w:val="11"/>
          <w:sz w:val="28"/>
          <w:szCs w:val="28"/>
          <w:lang w:val="uk-UA"/>
        </w:rPr>
        <w:t>вперше або за іншою спеціальністю</w:t>
      </w:r>
      <w:r>
        <w:rPr>
          <w:sz w:val="28"/>
          <w:szCs w:val="28"/>
          <w:lang w:val="uk-UA"/>
        </w:rPr>
        <w:t xml:space="preserve"> у межах професійної діяльності або галузі знань </w:t>
      </w:r>
      <w:r>
        <w:rPr>
          <w:rStyle w:val="11"/>
          <w:sz w:val="28"/>
          <w:szCs w:val="28"/>
          <w:lang w:val="uk-UA"/>
        </w:rPr>
        <w:t>визнається</w:t>
      </w:r>
      <w:r>
        <w:rPr>
          <w:sz w:val="28"/>
          <w:szCs w:val="28"/>
          <w:lang w:val="uk-UA"/>
        </w:rPr>
        <w:t xml:space="preserve"> як підвищення кваліфікації педагогічних працівників. </w:t>
      </w:r>
      <w:r>
        <w:rPr>
          <w:sz w:val="28"/>
          <w:szCs w:val="28"/>
        </w:rPr>
        <w:t>Тут варто звернути увагу на те, що здобуття педагогічним працівником відповідного рівня вищої освіти «</w:t>
      </w:r>
      <w:r>
        <w:rPr>
          <w:rStyle w:val="11"/>
          <w:sz w:val="28"/>
          <w:szCs w:val="28"/>
        </w:rPr>
        <w:t>визнається</w:t>
      </w:r>
      <w:r>
        <w:rPr>
          <w:sz w:val="28"/>
          <w:szCs w:val="28"/>
        </w:rPr>
        <w:t>», а не «може бути визнане» педагогічною радою. Такий підхід пов’язаний з тим, що під час здобуття вищої освіти особа набуває нових компетентностей і таке здобуття відбувається виключно у закладах вищої освіти, які мають ліцензію на освітню діяльність та видають дипломи про вищу освіту, у тому числі державного зразка, за акредитованими освітніми програмами.</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Водночас таке «визнання» не може замінити обов’язок кожного педагогічного працівника </w:t>
      </w:r>
      <w:r>
        <w:rPr>
          <w:rStyle w:val="11"/>
          <w:sz w:val="28"/>
          <w:szCs w:val="28"/>
          <w:lang w:val="uk-UA"/>
        </w:rPr>
        <w:t>щорічно</w:t>
      </w:r>
      <w:r>
        <w:rPr>
          <w:sz w:val="28"/>
          <w:szCs w:val="28"/>
          <w:lang w:val="uk-UA"/>
        </w:rPr>
        <w:t xml:space="preserve"> підвищувати власну кваліфікацію і педагогічну майстерність. </w:t>
      </w:r>
      <w:r>
        <w:rPr>
          <w:sz w:val="28"/>
          <w:szCs w:val="28"/>
        </w:rPr>
        <w:t>Тому таке «визнання» може відбутися лише одноразово (у рік подання до закладу освіти відповідного диплому про вищу освіту).</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Обсяг підвищення кваліфікації шляхом здобуття наукового ступеня, рівня вищої освіти зараховується відповідно до встановленого обсягу освітньо-професійної (освітньо-наукової, освітньо-творчої) програми у годинах або кредитах ЄКТС, </w:t>
      </w:r>
      <w:r>
        <w:rPr>
          <w:rStyle w:val="11"/>
          <w:sz w:val="28"/>
          <w:szCs w:val="28"/>
          <w:lang w:val="uk-UA"/>
        </w:rPr>
        <w:t>за винятком визнаних (зарахованих) результатів навчання з попередньо здобутих рівнів освіти.</w:t>
      </w:r>
      <w:r>
        <w:rPr>
          <w:sz w:val="28"/>
          <w:szCs w:val="28"/>
          <w:lang w:val="uk-UA"/>
        </w:rPr>
        <w:t xml:space="preserve"> </w:t>
      </w:r>
      <w:r>
        <w:rPr>
          <w:sz w:val="28"/>
          <w:szCs w:val="28"/>
        </w:rPr>
        <w:t>Це означає, що вища освіта, здобута особою до прийняття на посаду педагогічного працівника, не може бути зарахована як підвищення кваліфікації. І, крім того, це означає, що не можна здобуття ступеня вищої освіти зараховувати двічі (повторно), якщо воно вже було зараховане як підвищення кваліфікації.</w:t>
      </w:r>
    </w:p>
    <w:p>
      <w:pPr>
        <w:pStyle w:val="17"/>
        <w:shd w:val="clear" w:color="auto" w:fill="BEBEBE" w:themeFill="background1" w:themeFillShade="BF"/>
        <w:spacing w:before="0" w:beforeAutospacing="0" w:after="0" w:afterAutospacing="0" w:line="276" w:lineRule="auto"/>
        <w:jc w:val="center"/>
        <w:rPr>
          <w:sz w:val="28"/>
          <w:szCs w:val="28"/>
        </w:rPr>
      </w:pPr>
      <w:r>
        <w:rPr>
          <w:rStyle w:val="11"/>
          <w:sz w:val="28"/>
          <w:szCs w:val="28"/>
        </w:rPr>
        <w:t>Фінансування підвищення кваліфікації</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Відповідно до частини першої статті 57 Закону </w:t>
      </w:r>
      <w:r>
        <w:rPr>
          <w:rStyle w:val="11"/>
          <w:sz w:val="28"/>
          <w:szCs w:val="28"/>
          <w:lang w:val="uk-UA"/>
        </w:rPr>
        <w:t>держава забезпечує оплату підвищення кваліфікації</w:t>
      </w:r>
      <w:r>
        <w:rPr>
          <w:sz w:val="28"/>
          <w:szCs w:val="28"/>
          <w:lang w:val="uk-UA"/>
        </w:rPr>
        <w:t>, що є однією з державних гарантій.</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Згідно з абзацом першим частини п’ятої статті 59 Закону загальна кількість годин, відведена на підвищення кваліфікації педагогічного працівника, що оплачується за кошти відповідних бюджетів, визначається законодавством. </w:t>
      </w:r>
      <w:r>
        <w:rPr>
          <w:sz w:val="28"/>
          <w:szCs w:val="28"/>
        </w:rPr>
        <w:t>Відповідно до абзацу другого частини восьмої статті 78 Закону підвищення кваліфікації педагогічних працівників в обсязі, визначеному законодавством, здійснюється за кошти державного та місцевих бюджетів.</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Саме тому в абзаці четвертому частини восьмої статті 78 Закону (з останніми змінами) зазначено, що обсяг коштів, що додатково виділяються на підвищення кваліфікації педагогічних працівників, заробітна плата яких виплачується за рахунок освітньої субвенції, не може бути меншим 2 відсотків відповідної освітньої субвенції, з яких 1 відсоток виділяється з державного бюджету і 1 відсоток - з бюджетів Автономної Республіки Крим, області, міста Києва чи Севастополя.</w:t>
      </w:r>
    </w:p>
    <w:p>
      <w:pPr>
        <w:pStyle w:val="17"/>
        <w:shd w:val="clear" w:color="auto" w:fill="FFFFFF"/>
        <w:spacing w:before="0" w:beforeAutospacing="0" w:after="0" w:afterAutospacing="0" w:line="276" w:lineRule="auto"/>
        <w:jc w:val="both"/>
        <w:rPr>
          <w:sz w:val="28"/>
          <w:szCs w:val="28"/>
          <w:lang w:val="uk-UA"/>
        </w:rPr>
      </w:pPr>
      <w:r>
        <w:rPr>
          <w:sz w:val="28"/>
          <w:szCs w:val="28"/>
          <w:lang w:val="uk-UA"/>
        </w:rPr>
        <w:t>Відповідно до частини п’ятої статті 59 Закону кошти на підвищення кваліфікації педагогічних працівників отримує заклад освіти, який розподіляє їх за рішенням педагогічної ради.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 xml:space="preserve">Згідно з пунктом 33 Порядку за рахунок коштів, передбачених у кошторисах закладів освіти, здійснюється фінансування підвищення кваліфікації в обсязі, встановленому законодавством, і відповідно до плану підвищення кваліфікації педагогічних працівників, які працюють у таких закладах </w:t>
      </w:r>
      <w:r>
        <w:rPr>
          <w:rStyle w:val="11"/>
          <w:sz w:val="28"/>
          <w:szCs w:val="28"/>
          <w:lang w:val="uk-UA"/>
        </w:rPr>
        <w:t>за основним місцем роботи</w:t>
      </w:r>
      <w:r>
        <w:rPr>
          <w:sz w:val="28"/>
          <w:szCs w:val="28"/>
          <w:lang w:val="uk-UA"/>
        </w:rPr>
        <w:t xml:space="preserve">, а також педагогічних працівників, які </w:t>
      </w:r>
      <w:r>
        <w:rPr>
          <w:rStyle w:val="11"/>
          <w:sz w:val="28"/>
          <w:szCs w:val="28"/>
          <w:lang w:val="uk-UA"/>
        </w:rPr>
        <w:t>забезпечують надання загальної середньої освіти</w:t>
      </w:r>
      <w:r>
        <w:rPr>
          <w:sz w:val="28"/>
          <w:szCs w:val="28"/>
          <w:lang w:val="uk-UA"/>
        </w:rPr>
        <w:t>, працюючи за сумісництвом у закладах освіти.</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Підвищення кваліфікації педагогічного працівника може фінансуватися також засновником закладу освіти, закладом освіти, в якому він працює, педагогічним працівником, а також іншими фізичними та юридичними особами.</w:t>
      </w:r>
    </w:p>
    <w:p>
      <w:pPr>
        <w:pStyle w:val="17"/>
        <w:shd w:val="clear" w:color="auto" w:fill="FFFFFF"/>
        <w:spacing w:before="0" w:beforeAutospacing="0" w:after="0" w:afterAutospacing="0" w:line="276" w:lineRule="auto"/>
        <w:ind w:firstLine="708"/>
        <w:jc w:val="both"/>
        <w:rPr>
          <w:sz w:val="28"/>
          <w:szCs w:val="28"/>
        </w:rPr>
      </w:pPr>
      <w:r>
        <w:rPr>
          <w:sz w:val="28"/>
          <w:szCs w:val="28"/>
          <w:lang w:val="uk-UA"/>
        </w:rPr>
        <w:t xml:space="preserve">Варто пам’ятати, що однією із засад державної політики у сфері освіти та принципом освітньої діяльності, що визначені статтею </w:t>
      </w:r>
      <w:r>
        <w:rPr>
          <w:sz w:val="28"/>
          <w:szCs w:val="28"/>
        </w:rPr>
        <w:t>6 Закону, є фінансова, академічна, кадрова та організаційна автономія закладів освіти у межах, визначених законом.</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Згідно з пунктом першим частини першої статті 1Закону автономія – право суб’єкта освітньої діяльності на самоврядування, яке полягає в його самостійності, незалежності та відповідальності у прийнятті рішень щодо академічних (освітніх), організаційних, фінансових, кадрових та інших питань діяльності, що провадиться в порядку та межах, визначених законом.</w:t>
      </w:r>
    </w:p>
    <w:p>
      <w:pPr>
        <w:pStyle w:val="17"/>
        <w:shd w:val="clear" w:color="auto" w:fill="FFFFFF"/>
        <w:spacing w:before="0" w:beforeAutospacing="0" w:after="0" w:afterAutospacing="0" w:line="276" w:lineRule="auto"/>
        <w:jc w:val="both"/>
        <w:rPr>
          <w:sz w:val="28"/>
          <w:szCs w:val="28"/>
        </w:rPr>
      </w:pPr>
      <w:r>
        <w:rPr>
          <w:sz w:val="28"/>
          <w:szCs w:val="28"/>
        </w:rPr>
        <w:t>Відповідно до частини третьої статті 2 Закону суб’єкт освітньої діяльності</w:t>
      </w:r>
      <w:r>
        <w:rPr>
          <w:sz w:val="28"/>
          <w:szCs w:val="28"/>
          <w:lang w:val="uk-UA"/>
        </w:rPr>
        <w:t xml:space="preserve"> </w:t>
      </w:r>
      <w:r>
        <w:rPr>
          <w:rStyle w:val="11"/>
          <w:sz w:val="28"/>
          <w:szCs w:val="28"/>
        </w:rPr>
        <w:t>має право самостійно приймати рішення з будь-яких питань у межах своєї автономії,</w:t>
      </w:r>
      <w:r>
        <w:rPr>
          <w:rStyle w:val="11"/>
          <w:sz w:val="28"/>
          <w:szCs w:val="28"/>
          <w:lang w:val="uk-UA"/>
        </w:rPr>
        <w:t xml:space="preserve"> </w:t>
      </w:r>
      <w:r>
        <w:rPr>
          <w:sz w:val="28"/>
          <w:szCs w:val="28"/>
        </w:rPr>
        <w:t>визначеної цим Законом, спеціальними законами та/або установчими документами</w:t>
      </w:r>
      <w:r>
        <w:rPr>
          <w:rStyle w:val="11"/>
          <w:sz w:val="28"/>
          <w:szCs w:val="28"/>
        </w:rPr>
        <w:t>, зокрема з питань, не врегульованих законодавством.</w:t>
      </w:r>
    </w:p>
    <w:p>
      <w:pPr>
        <w:pStyle w:val="17"/>
        <w:shd w:val="clear" w:color="auto" w:fill="FFFFFF"/>
        <w:spacing w:before="0" w:beforeAutospacing="0" w:after="0" w:afterAutospacing="0" w:line="276" w:lineRule="auto"/>
        <w:ind w:firstLine="708"/>
        <w:jc w:val="both"/>
        <w:rPr>
          <w:sz w:val="28"/>
          <w:szCs w:val="28"/>
        </w:rPr>
      </w:pPr>
      <w:r>
        <w:rPr>
          <w:sz w:val="28"/>
          <w:szCs w:val="28"/>
        </w:rPr>
        <w:t>Отже, з усіх питань, не врегульованих законодавством, заклади освіти мають право брати на себе відповідальність і самостійно приймати відповідні рішення з дотриманням загальних засад доброчесності і справедливості.</w:t>
      </w:r>
    </w:p>
    <w:p>
      <w:pPr>
        <w:pStyle w:val="17"/>
        <w:shd w:val="clear" w:color="auto" w:fill="FFFFFF"/>
        <w:spacing w:before="0" w:beforeAutospacing="0" w:after="0" w:afterAutospacing="0" w:line="276" w:lineRule="auto"/>
        <w:ind w:firstLine="708"/>
        <w:jc w:val="both"/>
        <w:rPr>
          <w:sz w:val="28"/>
          <w:szCs w:val="28"/>
          <w:lang w:val="uk-UA"/>
        </w:rPr>
      </w:pPr>
      <w:r>
        <w:rPr>
          <w:sz w:val="28"/>
          <w:szCs w:val="28"/>
          <w:lang w:val="uk-UA"/>
        </w:rPr>
        <w:t>В умовах розбудови та становлення нової системи підвищення кваліфікації Міністерство розробило і пропонує для використання орієнтовні форми основних документів, що згадані в Порядку, які можуть бути використані педагогічними працівниками, закладами освіти та суб’єктами підвищення кваліфікації. Відповідні форми можуть бути також розроблені зазначеними учасниками системи підвищення кваліфікації самостійно, виходячи з власних потреб, бачення і особливостей діяльності.</w:t>
      </w:r>
    </w:p>
    <w:p>
      <w:pPr>
        <w:pStyle w:val="17"/>
        <w:shd w:val="clear" w:color="auto" w:fill="FFFFFF"/>
        <w:spacing w:before="0" w:beforeAutospacing="0" w:after="0" w:afterAutospacing="0" w:line="276" w:lineRule="auto"/>
        <w:ind w:firstLine="708"/>
        <w:jc w:val="both"/>
        <w:rPr>
          <w:i/>
          <w:sz w:val="28"/>
          <w:szCs w:val="28"/>
          <w:lang w:val="uk-UA"/>
        </w:rPr>
      </w:pPr>
      <w:r>
        <w:rPr>
          <w:i/>
          <w:sz w:val="28"/>
          <w:szCs w:val="28"/>
          <w:lang w:val="uk-UA"/>
        </w:rPr>
        <w:t>(Додаються)</w:t>
      </w:r>
    </w:p>
    <w:p>
      <w:pPr>
        <w:spacing w:after="0"/>
        <w:ind w:firstLine="360"/>
        <w:jc w:val="both"/>
        <w:rPr>
          <w:rFonts w:ascii="Times New Roman" w:hAnsi="Times New Roman" w:eastAsia="Times New Roman" w:cs="Times New Roman"/>
          <w:sz w:val="28"/>
          <w:szCs w:val="28"/>
          <w:lang w:eastAsia="ru-RU"/>
        </w:rPr>
      </w:pPr>
    </w:p>
    <w:p>
      <w:pPr>
        <w:spacing w:after="0"/>
        <w:ind w:left="-1276" w:firstLine="360"/>
        <w:jc w:val="center"/>
        <w:rPr>
          <w:rFonts w:ascii="Times New Roman" w:hAnsi="Times New Roman" w:eastAsia="Times New Roman" w:cs="Times New Roman"/>
          <w:sz w:val="28"/>
          <w:szCs w:val="28"/>
          <w:lang w:val="uk-UA" w:eastAsia="ru-RU"/>
        </w:rPr>
      </w:pPr>
      <w:r>
        <w:rPr>
          <w:lang w:eastAsia="ru-RU"/>
        </w:rPr>
        <w:drawing>
          <wp:inline distT="0" distB="0" distL="0" distR="0">
            <wp:extent cx="6351270" cy="7310120"/>
            <wp:effectExtent l="19050" t="0" r="0" b="0"/>
            <wp:docPr id="3" name="Рисунок 3" descr="https://e.profkiosk.ru/media/ea676fa7-2dba-49eb-836c-c605a5966c43/image/APhmyMcTWLQUGipE8CVgYB1IRdbSz25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https://e.profkiosk.ru/media/ea676fa7-2dba-49eb-836c-c605a5966c43/image/APhmyMcTWLQUGipE8CVgYB1IRdbSz25r.jpg"/>
                    <pic:cNvPicPr>
                      <a:picLocks noChangeAspect="1" noChangeArrowheads="1"/>
                    </pic:cNvPicPr>
                  </pic:nvPicPr>
                  <pic:blipFill>
                    <a:blip r:embed="rId9" cstate="print"/>
                    <a:srcRect b="12121"/>
                    <a:stretch>
                      <a:fillRect/>
                    </a:stretch>
                  </pic:blipFill>
                  <pic:spPr>
                    <a:xfrm>
                      <a:off x="0" y="0"/>
                      <a:ext cx="6355428" cy="7315134"/>
                    </a:xfrm>
                    <a:prstGeom prst="rect">
                      <a:avLst/>
                    </a:prstGeom>
                    <a:noFill/>
                    <a:ln w="9525">
                      <a:noFill/>
                      <a:miter lim="800000"/>
                      <a:headEnd/>
                      <a:tailEnd/>
                    </a:ln>
                  </pic:spPr>
                </pic:pic>
              </a:graphicData>
            </a:graphic>
          </wp:inline>
        </w:drawing>
      </w:r>
    </w:p>
    <w:p>
      <w:pPr>
        <w:spacing w:after="0"/>
        <w:ind w:left="-851" w:firstLine="360"/>
        <w:jc w:val="center"/>
        <w:rPr>
          <w:rFonts w:ascii="Times New Roman" w:hAnsi="Times New Roman" w:eastAsia="Times New Roman" w:cs="Times New Roman"/>
          <w:sz w:val="28"/>
          <w:szCs w:val="28"/>
          <w:lang w:val="uk-UA" w:eastAsia="ru-RU"/>
        </w:rPr>
      </w:pPr>
      <w:r>
        <w:rPr>
          <w:lang w:eastAsia="ru-RU"/>
        </w:rPr>
        <w:drawing>
          <wp:inline distT="0" distB="0" distL="0" distR="0">
            <wp:extent cx="6546215" cy="8177530"/>
            <wp:effectExtent l="19050" t="0" r="6852" b="0"/>
            <wp:docPr id="6" name="Рисунок 6" descr="https://e.profkiosk.ru/media/ea676fa7-2dba-49eb-836c-c605a5966c43/image/JrwDyS97nqvEK4xP2FZgzUftHmAQLa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https://e.profkiosk.ru/media/ea676fa7-2dba-49eb-836c-c605a5966c43/image/JrwDyS97nqvEK4xP2FZgzUftHmAQLaoi.jpg"/>
                    <pic:cNvPicPr>
                      <a:picLocks noChangeAspect="1" noChangeArrowheads="1"/>
                    </pic:cNvPicPr>
                  </pic:nvPicPr>
                  <pic:blipFill>
                    <a:blip r:embed="rId10" cstate="print"/>
                    <a:srcRect/>
                    <a:stretch>
                      <a:fillRect/>
                    </a:stretch>
                  </pic:blipFill>
                  <pic:spPr>
                    <a:xfrm>
                      <a:off x="0" y="0"/>
                      <a:ext cx="6553738" cy="8186805"/>
                    </a:xfrm>
                    <a:prstGeom prst="rect">
                      <a:avLst/>
                    </a:prstGeom>
                    <a:noFill/>
                    <a:ln w="9525">
                      <a:noFill/>
                      <a:miter lim="800000"/>
                      <a:headEnd/>
                      <a:tailEnd/>
                    </a:ln>
                  </pic:spPr>
                </pic:pic>
              </a:graphicData>
            </a:graphic>
          </wp:inline>
        </w:drawing>
      </w: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hanging="709"/>
        <w:jc w:val="center"/>
        <w:rPr>
          <w:rFonts w:ascii="Times New Roman" w:hAnsi="Times New Roman" w:eastAsia="Times New Roman" w:cs="Times New Roman"/>
          <w:sz w:val="28"/>
          <w:szCs w:val="28"/>
          <w:lang w:val="uk-UA" w:eastAsia="ru-RU"/>
        </w:rPr>
      </w:pPr>
      <w:r>
        <w:rPr>
          <w:lang w:eastAsia="ru-RU"/>
        </w:rPr>
        <w:drawing>
          <wp:inline distT="0" distB="0" distL="0" distR="0">
            <wp:extent cx="6420485" cy="8922385"/>
            <wp:effectExtent l="0" t="0" r="18415" b="12065"/>
            <wp:docPr id="9" name="Рисунок 9" descr="https://e.profkiosk.ru/media/ea676fa7-2dba-49eb-836c-c605a5966c43/image/uVKhFi2LkJBNUr5YOPyzSxmpco6CIM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https://e.profkiosk.ru/media/ea676fa7-2dba-49eb-836c-c605a5966c43/image/uVKhFi2LkJBNUr5YOPyzSxmpco6CIMl4.jpg"/>
                    <pic:cNvPicPr>
                      <a:picLocks noChangeAspect="1" noChangeArrowheads="1"/>
                    </pic:cNvPicPr>
                  </pic:nvPicPr>
                  <pic:blipFill>
                    <a:blip r:embed="rId11" cstate="print"/>
                    <a:srcRect/>
                    <a:stretch>
                      <a:fillRect/>
                    </a:stretch>
                  </pic:blipFill>
                  <pic:spPr>
                    <a:xfrm>
                      <a:off x="0" y="0"/>
                      <a:ext cx="6420897" cy="8922936"/>
                    </a:xfrm>
                    <a:prstGeom prst="rect">
                      <a:avLst/>
                    </a:prstGeom>
                    <a:noFill/>
                    <a:ln w="9525">
                      <a:noFill/>
                      <a:miter lim="800000"/>
                      <a:headEnd/>
                      <a:tailEnd/>
                    </a:ln>
                  </pic:spPr>
                </pic:pic>
              </a:graphicData>
            </a:graphic>
          </wp:inline>
        </w:drawing>
      </w:r>
    </w:p>
    <w:p>
      <w:pPr>
        <w:spacing w:after="0"/>
        <w:ind w:firstLine="360"/>
        <w:jc w:val="both"/>
        <w:rPr>
          <w:rFonts w:ascii="Times New Roman" w:hAnsi="Times New Roman" w:eastAsia="Times New Roman" w:cs="Times New Roman"/>
          <w:sz w:val="28"/>
          <w:szCs w:val="28"/>
          <w:lang w:val="uk-UA" w:eastAsia="ru-RU"/>
        </w:rPr>
      </w:pPr>
    </w:p>
    <w:p>
      <w:pPr>
        <w:spacing w:after="0"/>
        <w:jc w:val="center"/>
        <w:rPr>
          <w:rFonts w:ascii="Times New Roman" w:hAnsi="Times New Roman" w:eastAsia="Times New Roman" w:cs="Times New Roman"/>
          <w:b/>
          <w:i/>
          <w:sz w:val="36"/>
          <w:szCs w:val="36"/>
          <w:u w:val="single"/>
          <w:lang w:val="uk-UA" w:eastAsia="ru-RU"/>
        </w:rPr>
      </w:pPr>
      <w:r>
        <w:rPr>
          <w:rFonts w:ascii="Times New Roman" w:hAnsi="Times New Roman" w:eastAsia="Times New Roman" w:cs="Times New Roman"/>
          <w:b/>
          <w:i/>
          <w:sz w:val="36"/>
          <w:szCs w:val="36"/>
          <w:u w:val="single"/>
          <w:lang w:val="uk-UA" w:eastAsia="ru-RU"/>
        </w:rPr>
        <w:t xml:space="preserve">Блок </w:t>
      </w:r>
      <w:r>
        <w:rPr>
          <w:rFonts w:ascii="Times New Roman" w:hAnsi="Times New Roman" w:eastAsia="Times New Roman" w:cs="Times New Roman"/>
          <w:b/>
          <w:i/>
          <w:sz w:val="36"/>
          <w:szCs w:val="36"/>
          <w:u w:val="single"/>
          <w:lang w:eastAsia="ru-RU"/>
        </w:rPr>
        <w:t>V</w:t>
      </w:r>
      <w:r>
        <w:rPr>
          <w:rFonts w:ascii="Times New Roman" w:hAnsi="Times New Roman" w:eastAsia="Times New Roman" w:cs="Times New Roman"/>
          <w:b/>
          <w:i/>
          <w:sz w:val="36"/>
          <w:szCs w:val="36"/>
          <w:u w:val="single"/>
          <w:lang w:val="uk-UA" w:eastAsia="ru-RU"/>
        </w:rPr>
        <w:t>І. «Стратегія реалізації внутрішньої системи забезпечення якості освіти:</w:t>
      </w:r>
    </w:p>
    <w:p>
      <w:pPr>
        <w:spacing w:after="0"/>
        <w:ind w:firstLine="708"/>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Стратегія реалізації внутрішньої системи забезпечення якості освіти (далі Стратегія) розроблена з метою вивчення та оцінки якості освітньої діяльності і отримання інформації про реальний стан справ за кількома десятками параметрів, кожен з яких розкриває роботу закладу глибше. Така інформація допоможе проаналізувати сильні і слабкі сторони роботи школи, підкаже можливі шляхи підвищення якості освітньої діяльності, пройти цими шляхами — і отримати якісний результат.</w:t>
      </w:r>
    </w:p>
    <w:p>
      <w:pPr>
        <w:pStyle w:val="14"/>
        <w:spacing w:after="0" w:line="256" w:lineRule="auto"/>
        <w:ind w:right="593" w:firstLine="360"/>
        <w:jc w:val="both"/>
        <w:rPr>
          <w:rFonts w:ascii="Times New Roman" w:hAnsi="Times New Roman" w:cs="Times New Roman"/>
          <w:sz w:val="28"/>
          <w:szCs w:val="28"/>
        </w:rPr>
      </w:pPr>
      <w:r>
        <w:rPr>
          <w:rFonts w:ascii="Times New Roman" w:hAnsi="Times New Roman" w:cs="Times New Roman"/>
          <w:sz w:val="28"/>
          <w:szCs w:val="28"/>
        </w:rPr>
        <w:t>Стратегія та процедура забезпечення якості освіти базується на наступних принципах:</w:t>
      </w:r>
    </w:p>
    <w:p>
      <w:pPr>
        <w:pStyle w:val="26"/>
        <w:widowControl w:val="0"/>
        <w:numPr>
          <w:ilvl w:val="0"/>
          <w:numId w:val="35"/>
        </w:numPr>
        <w:tabs>
          <w:tab w:val="left" w:pos="1441"/>
        </w:tabs>
        <w:autoSpaceDE w:val="0"/>
        <w:autoSpaceDN w:val="0"/>
        <w:spacing w:after="0" w:line="256" w:lineRule="auto"/>
        <w:jc w:val="both"/>
        <w:rPr>
          <w:rFonts w:ascii="Times New Roman" w:hAnsi="Times New Roman" w:cs="Times New Roman"/>
          <w:sz w:val="28"/>
          <w:szCs w:val="28"/>
        </w:rPr>
      </w:pPr>
      <w:r>
        <w:rPr>
          <w:rFonts w:ascii="Times New Roman" w:hAnsi="Times New Roman" w:cs="Times New Roman"/>
          <w:sz w:val="28"/>
          <w:szCs w:val="28"/>
        </w:rPr>
        <w:t>принцип процесного підходу, що розглядає діяльність закладу як сукупність освітніх процесів, які спрямовані на реалізацію визначених закладом стратегічних цілей, при цьому управління якістю освітніх послуг реалізується через функції планування, організації, мотивації та</w:t>
      </w:r>
      <w:r>
        <w:rPr>
          <w:rFonts w:ascii="Times New Roman" w:hAnsi="Times New Roman" w:cs="Times New Roman"/>
          <w:spacing w:val="13"/>
          <w:sz w:val="28"/>
          <w:szCs w:val="28"/>
        </w:rPr>
        <w:t xml:space="preserve"> </w:t>
      </w:r>
      <w:r>
        <w:rPr>
          <w:rFonts w:ascii="Times New Roman" w:hAnsi="Times New Roman" w:cs="Times New Roman"/>
          <w:sz w:val="28"/>
          <w:szCs w:val="28"/>
        </w:rPr>
        <w:t>контролю;</w:t>
      </w:r>
    </w:p>
    <w:p>
      <w:pPr>
        <w:pStyle w:val="26"/>
        <w:numPr>
          <w:ilvl w:val="0"/>
          <w:numId w:val="35"/>
        </w:numPr>
        <w:spacing w:after="0"/>
        <w:jc w:val="both"/>
        <w:rPr>
          <w:rFonts w:ascii="Times New Roman" w:hAnsi="Times New Roman" w:cs="Times New Roman"/>
          <w:sz w:val="28"/>
          <w:szCs w:val="28"/>
          <w:lang w:val="uk-UA"/>
        </w:rPr>
      </w:pPr>
      <w:r>
        <w:rPr>
          <w:rFonts w:ascii="Times New Roman" w:hAnsi="Times New Roman" w:cs="Times New Roman"/>
          <w:sz w:val="28"/>
          <w:szCs w:val="28"/>
        </w:rPr>
        <w:t>принцип цілісності, який вимагає єдності впливів освітньої діяльності, їх підпорядкованості, визначеній меті якості освітнього процесу</w:t>
      </w:r>
      <w:r>
        <w:rPr>
          <w:rFonts w:ascii="Times New Roman" w:hAnsi="Times New Roman" w:cs="Times New Roman"/>
          <w:sz w:val="28"/>
          <w:szCs w:val="28"/>
          <w:lang w:val="uk-UA"/>
        </w:rPr>
        <w:t>;</w:t>
      </w:r>
    </w:p>
    <w:p>
      <w:pPr>
        <w:pStyle w:val="26"/>
        <w:widowControl w:val="0"/>
        <w:numPr>
          <w:ilvl w:val="0"/>
          <w:numId w:val="35"/>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принцип розвитку, що виходить з необхідності вдосконалення якості освітнього процесу </w:t>
      </w:r>
      <w:r>
        <w:rPr>
          <w:rFonts w:ascii="Times New Roman" w:hAnsi="Times New Roman" w:cs="Times New Roman"/>
          <w:spacing w:val="2"/>
          <w:sz w:val="28"/>
          <w:szCs w:val="28"/>
          <w:lang w:val="uk-UA"/>
        </w:rPr>
        <w:t xml:space="preserve">відповідно до </w:t>
      </w:r>
      <w:r>
        <w:rPr>
          <w:rFonts w:ascii="Times New Roman" w:hAnsi="Times New Roman" w:cs="Times New Roman"/>
          <w:sz w:val="28"/>
          <w:szCs w:val="28"/>
          <w:lang w:val="uk-UA"/>
        </w:rPr>
        <w:t xml:space="preserve">зміни внутрішнього </w:t>
      </w:r>
      <w:r>
        <w:rPr>
          <w:rFonts w:ascii="Times New Roman" w:hAnsi="Times New Roman" w:cs="Times New Roman"/>
          <w:spacing w:val="2"/>
          <w:sz w:val="28"/>
          <w:szCs w:val="28"/>
          <w:lang w:val="uk-UA"/>
        </w:rPr>
        <w:t xml:space="preserve">та </w:t>
      </w:r>
      <w:r>
        <w:rPr>
          <w:rFonts w:ascii="Times New Roman" w:hAnsi="Times New Roman" w:cs="Times New Roman"/>
          <w:sz w:val="28"/>
          <w:szCs w:val="28"/>
          <w:lang w:val="uk-UA"/>
        </w:rPr>
        <w:t xml:space="preserve">зовнішнього середовища, аналізу даних </w:t>
      </w:r>
      <w:r>
        <w:rPr>
          <w:rFonts w:ascii="Times New Roman" w:hAnsi="Times New Roman" w:cs="Times New Roman"/>
          <w:spacing w:val="2"/>
          <w:sz w:val="28"/>
          <w:szCs w:val="28"/>
          <w:lang w:val="uk-UA"/>
        </w:rPr>
        <w:t xml:space="preserve">та </w:t>
      </w:r>
      <w:r>
        <w:rPr>
          <w:rFonts w:ascii="Times New Roman" w:hAnsi="Times New Roman" w:cs="Times New Roman"/>
          <w:sz w:val="28"/>
          <w:szCs w:val="28"/>
          <w:lang w:val="uk-UA"/>
        </w:rPr>
        <w:t>інформації про результативність освітньої</w:t>
      </w:r>
      <w:r>
        <w:rPr>
          <w:rFonts w:ascii="Times New Roman" w:hAnsi="Times New Roman" w:cs="Times New Roman"/>
          <w:spacing w:val="7"/>
          <w:sz w:val="28"/>
          <w:szCs w:val="28"/>
          <w:lang w:val="uk-UA"/>
        </w:rPr>
        <w:t xml:space="preserve"> </w:t>
      </w:r>
      <w:r>
        <w:rPr>
          <w:rFonts w:ascii="Times New Roman" w:hAnsi="Times New Roman" w:cs="Times New Roman"/>
          <w:sz w:val="28"/>
          <w:szCs w:val="28"/>
          <w:lang w:val="uk-UA"/>
        </w:rPr>
        <w:t>діяльності;</w:t>
      </w:r>
    </w:p>
    <w:p>
      <w:pPr>
        <w:pStyle w:val="26"/>
        <w:widowControl w:val="0"/>
        <w:numPr>
          <w:ilvl w:val="0"/>
          <w:numId w:val="35"/>
        </w:numPr>
        <w:tabs>
          <w:tab w:val="left" w:pos="1441"/>
        </w:tabs>
        <w:autoSpaceDE w:val="0"/>
        <w:autoSpaceDN w:val="0"/>
        <w:spacing w:after="0" w:line="256" w:lineRule="auto"/>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принцип партнерства, що враховує взаємозалежність та взаємну зацікавленість суб’єктів освітнього процесу, відповідно </w:t>
      </w:r>
      <w:r>
        <w:rPr>
          <w:rFonts w:ascii="Times New Roman" w:hAnsi="Times New Roman" w:cs="Times New Roman"/>
          <w:spacing w:val="2"/>
          <w:sz w:val="28"/>
          <w:szCs w:val="28"/>
          <w:lang w:val="uk-UA"/>
        </w:rPr>
        <w:t xml:space="preserve">до </w:t>
      </w:r>
      <w:r>
        <w:rPr>
          <w:rFonts w:ascii="Times New Roman" w:hAnsi="Times New Roman" w:cs="Times New Roman"/>
          <w:sz w:val="28"/>
          <w:szCs w:val="28"/>
          <w:lang w:val="uk-UA"/>
        </w:rPr>
        <w:t xml:space="preserve">їх поточних </w:t>
      </w:r>
      <w:r>
        <w:rPr>
          <w:rFonts w:ascii="Times New Roman" w:hAnsi="Times New Roman" w:cs="Times New Roman"/>
          <w:spacing w:val="2"/>
          <w:sz w:val="28"/>
          <w:szCs w:val="28"/>
          <w:lang w:val="uk-UA"/>
        </w:rPr>
        <w:t xml:space="preserve">та </w:t>
      </w:r>
      <w:r>
        <w:rPr>
          <w:rFonts w:ascii="Times New Roman" w:hAnsi="Times New Roman" w:cs="Times New Roman"/>
          <w:sz w:val="28"/>
          <w:szCs w:val="28"/>
          <w:lang w:val="uk-UA"/>
        </w:rPr>
        <w:t>майбутніх потреб у досягненні високої якості освітнього</w:t>
      </w:r>
      <w:r>
        <w:rPr>
          <w:rFonts w:ascii="Times New Roman" w:hAnsi="Times New Roman" w:cs="Times New Roman"/>
          <w:spacing w:val="1"/>
          <w:sz w:val="28"/>
          <w:szCs w:val="28"/>
          <w:lang w:val="uk-UA"/>
        </w:rPr>
        <w:t xml:space="preserve"> </w:t>
      </w:r>
      <w:r>
        <w:rPr>
          <w:rFonts w:ascii="Times New Roman" w:hAnsi="Times New Roman" w:cs="Times New Roman"/>
          <w:sz w:val="28"/>
          <w:szCs w:val="28"/>
          <w:lang w:val="uk-UA"/>
        </w:rPr>
        <w:t>процесу;</w:t>
      </w:r>
    </w:p>
    <w:p>
      <w:pPr>
        <w:pStyle w:val="26"/>
        <w:widowControl w:val="0"/>
        <w:numPr>
          <w:ilvl w:val="0"/>
          <w:numId w:val="35"/>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відповідності Державним стандартам загальної середньої</w:t>
      </w:r>
      <w:r>
        <w:rPr>
          <w:rFonts w:ascii="Times New Roman" w:hAnsi="Times New Roman" w:cs="Times New Roman"/>
          <w:spacing w:val="29"/>
          <w:sz w:val="28"/>
          <w:szCs w:val="28"/>
        </w:rPr>
        <w:t xml:space="preserve"> </w:t>
      </w:r>
      <w:r>
        <w:rPr>
          <w:rFonts w:ascii="Times New Roman" w:hAnsi="Times New Roman" w:cs="Times New Roman"/>
          <w:sz w:val="28"/>
          <w:szCs w:val="28"/>
        </w:rPr>
        <w:t>освіти;</w:t>
      </w:r>
    </w:p>
    <w:p>
      <w:pPr>
        <w:pStyle w:val="26"/>
        <w:widowControl w:val="0"/>
        <w:numPr>
          <w:ilvl w:val="0"/>
          <w:numId w:val="35"/>
        </w:numPr>
        <w:tabs>
          <w:tab w:val="left" w:pos="1441"/>
        </w:tabs>
        <w:autoSpaceDE w:val="0"/>
        <w:autoSpaceDN w:val="0"/>
        <w:spacing w:after="0" w:line="256"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відповідальності за забезпечення </w:t>
      </w:r>
      <w:r>
        <w:rPr>
          <w:rFonts w:ascii="Times New Roman" w:hAnsi="Times New Roman" w:cs="Times New Roman"/>
          <w:spacing w:val="2"/>
          <w:sz w:val="28"/>
          <w:szCs w:val="28"/>
        </w:rPr>
        <w:t xml:space="preserve">якості </w:t>
      </w:r>
      <w:r>
        <w:rPr>
          <w:rFonts w:ascii="Times New Roman" w:hAnsi="Times New Roman" w:cs="Times New Roman"/>
          <w:sz w:val="28"/>
          <w:szCs w:val="28"/>
        </w:rPr>
        <w:t xml:space="preserve">освіти </w:t>
      </w:r>
      <w:r>
        <w:rPr>
          <w:rFonts w:ascii="Times New Roman" w:hAnsi="Times New Roman" w:cs="Times New Roman"/>
          <w:spacing w:val="2"/>
          <w:sz w:val="28"/>
          <w:szCs w:val="28"/>
        </w:rPr>
        <w:t xml:space="preserve">та </w:t>
      </w:r>
      <w:r>
        <w:rPr>
          <w:rFonts w:ascii="Times New Roman" w:hAnsi="Times New Roman" w:cs="Times New Roman"/>
          <w:sz w:val="28"/>
          <w:szCs w:val="28"/>
        </w:rPr>
        <w:t>якості освітньої діяльності;</w:t>
      </w:r>
    </w:p>
    <w:p>
      <w:pPr>
        <w:pStyle w:val="26"/>
        <w:widowControl w:val="0"/>
        <w:numPr>
          <w:ilvl w:val="0"/>
          <w:numId w:val="35"/>
        </w:numPr>
        <w:tabs>
          <w:tab w:val="left" w:pos="1441"/>
          <w:tab w:val="left" w:pos="9214"/>
        </w:tabs>
        <w:autoSpaceDE w:val="0"/>
        <w:autoSpaceDN w:val="0"/>
        <w:spacing w:after="0" w:line="256" w:lineRule="auto"/>
        <w:contextualSpacing w:val="0"/>
        <w:jc w:val="both"/>
        <w:rPr>
          <w:rFonts w:ascii="Times New Roman" w:hAnsi="Times New Roman" w:cs="Times New Roman"/>
          <w:sz w:val="28"/>
          <w:szCs w:val="28"/>
        </w:rPr>
      </w:pPr>
      <w:r>
        <w:rPr>
          <w:rFonts w:ascii="Times New Roman" w:hAnsi="Times New Roman" w:cs="Times New Roman"/>
          <w:sz w:val="28"/>
          <w:szCs w:val="28"/>
        </w:rPr>
        <w:t>системності в управлінні якістю на всіх стадіях світнього процесу;</w:t>
      </w:r>
    </w:p>
    <w:p>
      <w:pPr>
        <w:pStyle w:val="26"/>
        <w:widowControl w:val="0"/>
        <w:numPr>
          <w:ilvl w:val="0"/>
          <w:numId w:val="35"/>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здійснення обґрунтованого моніторингу якості</w:t>
      </w:r>
      <w:r>
        <w:rPr>
          <w:rFonts w:ascii="Times New Roman" w:hAnsi="Times New Roman" w:cs="Times New Roman"/>
          <w:spacing w:val="28"/>
          <w:sz w:val="28"/>
          <w:szCs w:val="28"/>
        </w:rPr>
        <w:t xml:space="preserve"> </w:t>
      </w:r>
      <w:r>
        <w:rPr>
          <w:rFonts w:ascii="Times New Roman" w:hAnsi="Times New Roman" w:cs="Times New Roman"/>
          <w:sz w:val="28"/>
          <w:szCs w:val="28"/>
        </w:rPr>
        <w:t>освіти;</w:t>
      </w:r>
    </w:p>
    <w:p>
      <w:pPr>
        <w:pStyle w:val="26"/>
        <w:widowControl w:val="0"/>
        <w:numPr>
          <w:ilvl w:val="0"/>
          <w:numId w:val="35"/>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готовності суб’єктів освітньої діяльності </w:t>
      </w:r>
      <w:r>
        <w:rPr>
          <w:rFonts w:ascii="Times New Roman" w:hAnsi="Times New Roman" w:cs="Times New Roman"/>
          <w:spacing w:val="2"/>
          <w:sz w:val="28"/>
          <w:szCs w:val="28"/>
        </w:rPr>
        <w:t xml:space="preserve">до </w:t>
      </w:r>
      <w:r>
        <w:rPr>
          <w:rFonts w:ascii="Times New Roman" w:hAnsi="Times New Roman" w:cs="Times New Roman"/>
          <w:sz w:val="28"/>
          <w:szCs w:val="28"/>
        </w:rPr>
        <w:t>ефективних</w:t>
      </w:r>
      <w:r>
        <w:rPr>
          <w:rFonts w:ascii="Times New Roman" w:hAnsi="Times New Roman" w:cs="Times New Roman"/>
          <w:spacing w:val="24"/>
          <w:sz w:val="28"/>
          <w:szCs w:val="28"/>
        </w:rPr>
        <w:t xml:space="preserve"> </w:t>
      </w:r>
      <w:r>
        <w:rPr>
          <w:rFonts w:ascii="Times New Roman" w:hAnsi="Times New Roman" w:cs="Times New Roman"/>
          <w:sz w:val="28"/>
          <w:szCs w:val="28"/>
        </w:rPr>
        <w:t>змін;</w:t>
      </w:r>
    </w:p>
    <w:p>
      <w:pPr>
        <w:pStyle w:val="26"/>
        <w:widowControl w:val="0"/>
        <w:numPr>
          <w:ilvl w:val="0"/>
          <w:numId w:val="35"/>
        </w:numPr>
        <w:tabs>
          <w:tab w:val="left" w:pos="1441"/>
        </w:tabs>
        <w:autoSpaceDE w:val="0"/>
        <w:autoSpaceDN w:val="0"/>
        <w:spacing w:after="0" w:line="256" w:lineRule="auto"/>
        <w:ind w:right="783"/>
        <w:contextualSpacing w:val="0"/>
        <w:jc w:val="both"/>
        <w:rPr>
          <w:rFonts w:ascii="Times New Roman" w:hAnsi="Times New Roman" w:cs="Times New Roman"/>
          <w:sz w:val="28"/>
          <w:szCs w:val="28"/>
        </w:rPr>
      </w:pPr>
      <w:r>
        <w:rPr>
          <w:rFonts w:ascii="Times New Roman" w:hAnsi="Times New Roman" w:cs="Times New Roman"/>
          <w:sz w:val="28"/>
          <w:szCs w:val="28"/>
        </w:rPr>
        <w:t>відкритості інформації на всіх етапах забезпечення якості та прозорості процедур системи забезпечення якості освітньої діяльності.</w:t>
      </w:r>
    </w:p>
    <w:p>
      <w:pPr>
        <w:pStyle w:val="26"/>
        <w:widowControl w:val="0"/>
        <w:shd w:val="clear" w:color="auto" w:fill="D8D8D8" w:themeFill="background1" w:themeFillShade="D9"/>
        <w:tabs>
          <w:tab w:val="left" w:pos="1441"/>
        </w:tabs>
        <w:autoSpaceDE w:val="0"/>
        <w:autoSpaceDN w:val="0"/>
        <w:spacing w:after="0" w:line="256" w:lineRule="auto"/>
        <w:ind w:right="783"/>
        <w:contextualSpacing w:val="0"/>
        <w:jc w:val="center"/>
        <w:rPr>
          <w:rFonts w:ascii="Times New Roman" w:hAnsi="Times New Roman" w:cs="Times New Roman"/>
          <w:sz w:val="28"/>
          <w:szCs w:val="28"/>
        </w:rPr>
      </w:pPr>
      <w:r>
        <w:rPr>
          <w:rFonts w:ascii="Times New Roman" w:hAnsi="Times New Roman" w:cs="Times New Roman"/>
          <w:b/>
          <w:sz w:val="28"/>
          <w:szCs w:val="28"/>
        </w:rPr>
        <w:t>Стратегія</w:t>
      </w:r>
      <w:r>
        <w:rPr>
          <w:rFonts w:ascii="Times New Roman" w:hAnsi="Times New Roman" w:cs="Times New Roman"/>
          <w:b/>
          <w:sz w:val="28"/>
          <w:szCs w:val="28"/>
          <w:lang w:val="uk-UA"/>
        </w:rPr>
        <w:t xml:space="preserve"> </w:t>
      </w:r>
      <w:r>
        <w:rPr>
          <w:rFonts w:ascii="Times New Roman" w:hAnsi="Times New Roman" w:cs="Times New Roman"/>
          <w:b/>
          <w:sz w:val="28"/>
          <w:szCs w:val="28"/>
        </w:rPr>
        <w:t>(політика)</w:t>
      </w:r>
      <w:r>
        <w:rPr>
          <w:rFonts w:ascii="Times New Roman" w:hAnsi="Times New Roman" w:cs="Times New Roman"/>
          <w:b/>
          <w:sz w:val="28"/>
          <w:szCs w:val="28"/>
          <w:lang w:val="uk-UA"/>
        </w:rPr>
        <w:t xml:space="preserve"> </w:t>
      </w:r>
      <w:r>
        <w:rPr>
          <w:rFonts w:ascii="Times New Roman" w:hAnsi="Times New Roman" w:cs="Times New Roman"/>
          <w:b/>
          <w:spacing w:val="2"/>
          <w:sz w:val="28"/>
          <w:szCs w:val="28"/>
        </w:rPr>
        <w:t>та</w:t>
      </w:r>
      <w:r>
        <w:rPr>
          <w:rFonts w:ascii="Times New Roman" w:hAnsi="Times New Roman" w:cs="Times New Roman"/>
          <w:b/>
          <w:spacing w:val="2"/>
          <w:sz w:val="28"/>
          <w:szCs w:val="28"/>
          <w:lang w:val="uk-UA"/>
        </w:rPr>
        <w:t xml:space="preserve"> </w:t>
      </w:r>
      <w:r>
        <w:rPr>
          <w:rFonts w:ascii="Times New Roman" w:hAnsi="Times New Roman" w:cs="Times New Roman"/>
          <w:b/>
          <w:sz w:val="28"/>
          <w:szCs w:val="28"/>
        </w:rPr>
        <w:t>процедури</w:t>
      </w:r>
      <w:r>
        <w:rPr>
          <w:rFonts w:ascii="Times New Roman" w:hAnsi="Times New Roman" w:cs="Times New Roman"/>
          <w:b/>
          <w:sz w:val="28"/>
          <w:szCs w:val="28"/>
          <w:lang w:val="uk-UA"/>
        </w:rPr>
        <w:t xml:space="preserve"> </w:t>
      </w:r>
      <w:r>
        <w:rPr>
          <w:rFonts w:ascii="Times New Roman" w:hAnsi="Times New Roman" w:cs="Times New Roman"/>
          <w:b/>
          <w:sz w:val="28"/>
          <w:szCs w:val="28"/>
        </w:rPr>
        <w:t>забезпечення</w:t>
      </w:r>
      <w:r>
        <w:rPr>
          <w:rFonts w:ascii="Times New Roman" w:hAnsi="Times New Roman" w:cs="Times New Roman"/>
          <w:b/>
          <w:sz w:val="28"/>
          <w:szCs w:val="28"/>
          <w:lang w:val="uk-UA"/>
        </w:rPr>
        <w:t xml:space="preserve"> </w:t>
      </w:r>
      <w:r>
        <w:rPr>
          <w:rFonts w:ascii="Times New Roman" w:hAnsi="Times New Roman" w:cs="Times New Roman"/>
          <w:b/>
          <w:sz w:val="28"/>
          <w:szCs w:val="28"/>
        </w:rPr>
        <w:t>якості</w:t>
      </w:r>
      <w:r>
        <w:rPr>
          <w:rFonts w:ascii="Times New Roman" w:hAnsi="Times New Roman" w:cs="Times New Roman"/>
          <w:b/>
          <w:sz w:val="28"/>
          <w:szCs w:val="28"/>
          <w:lang w:val="uk-UA"/>
        </w:rPr>
        <w:t xml:space="preserve"> </w:t>
      </w:r>
      <w:r>
        <w:rPr>
          <w:rFonts w:ascii="Times New Roman" w:hAnsi="Times New Roman" w:cs="Times New Roman"/>
          <w:b/>
          <w:sz w:val="28"/>
          <w:szCs w:val="28"/>
        </w:rPr>
        <w:t>освіти передбачають здійснення таких процедур і</w:t>
      </w:r>
      <w:r>
        <w:rPr>
          <w:rFonts w:ascii="Times New Roman" w:hAnsi="Times New Roman" w:cs="Times New Roman"/>
          <w:b/>
          <w:spacing w:val="20"/>
          <w:sz w:val="28"/>
          <w:szCs w:val="28"/>
        </w:rPr>
        <w:t xml:space="preserve"> </w:t>
      </w:r>
      <w:r>
        <w:rPr>
          <w:rFonts w:ascii="Times New Roman" w:hAnsi="Times New Roman" w:cs="Times New Roman"/>
          <w:b/>
          <w:sz w:val="28"/>
          <w:szCs w:val="28"/>
        </w:rPr>
        <w:t>заходів</w:t>
      </w:r>
      <w:r>
        <w:rPr>
          <w:rFonts w:ascii="Times New Roman" w:hAnsi="Times New Roman" w:cs="Times New Roman"/>
          <w:sz w:val="28"/>
          <w:szCs w:val="28"/>
        </w:rPr>
        <w:t>:</w:t>
      </w:r>
    </w:p>
    <w:p>
      <w:pPr>
        <w:pStyle w:val="26"/>
        <w:widowControl w:val="0"/>
        <w:numPr>
          <w:ilvl w:val="0"/>
          <w:numId w:val="35"/>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удосконалення планування освітньої</w:t>
      </w:r>
      <w:r>
        <w:rPr>
          <w:rFonts w:ascii="Times New Roman" w:hAnsi="Times New Roman" w:cs="Times New Roman"/>
          <w:spacing w:val="19"/>
          <w:sz w:val="28"/>
          <w:szCs w:val="28"/>
        </w:rPr>
        <w:t xml:space="preserve"> </w:t>
      </w:r>
      <w:r>
        <w:rPr>
          <w:rFonts w:ascii="Times New Roman" w:hAnsi="Times New Roman" w:cs="Times New Roman"/>
          <w:sz w:val="28"/>
          <w:szCs w:val="28"/>
        </w:rPr>
        <w:t>діяльності;</w:t>
      </w:r>
    </w:p>
    <w:p>
      <w:pPr>
        <w:pStyle w:val="26"/>
        <w:widowControl w:val="0"/>
        <w:numPr>
          <w:ilvl w:val="0"/>
          <w:numId w:val="35"/>
        </w:numPr>
        <w:tabs>
          <w:tab w:val="left" w:pos="1440"/>
          <w:tab w:val="left" w:pos="1441"/>
        </w:tabs>
        <w:autoSpaceDE w:val="0"/>
        <w:autoSpaceDN w:val="0"/>
        <w:spacing w:after="0" w:line="240" w:lineRule="auto"/>
        <w:contextualSpacing w:val="0"/>
        <w:jc w:val="both"/>
        <w:rPr>
          <w:rFonts w:ascii="Times New Roman" w:hAnsi="Times New Roman" w:cs="Times New Roman"/>
          <w:sz w:val="28"/>
          <w:szCs w:val="28"/>
        </w:rPr>
      </w:pPr>
      <w:r>
        <w:rPr>
          <w:rFonts w:ascii="Times New Roman" w:hAnsi="Times New Roman" w:cs="Times New Roman"/>
          <w:sz w:val="28"/>
          <w:szCs w:val="28"/>
        </w:rPr>
        <w:t>підвищення якості знань здобувачів</w:t>
      </w:r>
      <w:r>
        <w:rPr>
          <w:rFonts w:ascii="Times New Roman" w:hAnsi="Times New Roman" w:cs="Times New Roman"/>
          <w:spacing w:val="17"/>
          <w:sz w:val="28"/>
          <w:szCs w:val="28"/>
        </w:rPr>
        <w:t xml:space="preserve"> </w:t>
      </w:r>
      <w:r>
        <w:rPr>
          <w:rFonts w:ascii="Times New Roman" w:hAnsi="Times New Roman" w:cs="Times New Roman"/>
          <w:sz w:val="28"/>
          <w:szCs w:val="28"/>
        </w:rPr>
        <w:t>освіти;</w:t>
      </w:r>
    </w:p>
    <w:p>
      <w:pPr>
        <w:pStyle w:val="26"/>
        <w:widowControl w:val="0"/>
        <w:numPr>
          <w:ilvl w:val="0"/>
          <w:numId w:val="35"/>
        </w:numPr>
        <w:tabs>
          <w:tab w:val="left" w:pos="1441"/>
        </w:tabs>
        <w:autoSpaceDE w:val="0"/>
        <w:autoSpaceDN w:val="0"/>
        <w:spacing w:after="0" w:line="259"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посилення кадрового потенціалу </w:t>
      </w:r>
      <w:r>
        <w:rPr>
          <w:rFonts w:ascii="Times New Roman" w:hAnsi="Times New Roman" w:cs="Times New Roman"/>
          <w:spacing w:val="2"/>
          <w:sz w:val="28"/>
          <w:szCs w:val="28"/>
        </w:rPr>
        <w:t xml:space="preserve">закладу освіти та </w:t>
      </w:r>
      <w:r>
        <w:rPr>
          <w:rFonts w:ascii="Times New Roman" w:hAnsi="Times New Roman" w:cs="Times New Roman"/>
          <w:sz w:val="28"/>
          <w:szCs w:val="28"/>
        </w:rPr>
        <w:t>підвищення кваліфікації педагогічних</w:t>
      </w:r>
      <w:r>
        <w:rPr>
          <w:rFonts w:ascii="Times New Roman" w:hAnsi="Times New Roman" w:cs="Times New Roman"/>
          <w:spacing w:val="9"/>
          <w:sz w:val="28"/>
          <w:szCs w:val="28"/>
        </w:rPr>
        <w:t xml:space="preserve"> </w:t>
      </w:r>
      <w:r>
        <w:rPr>
          <w:rFonts w:ascii="Times New Roman" w:hAnsi="Times New Roman" w:cs="Times New Roman"/>
          <w:sz w:val="28"/>
          <w:szCs w:val="28"/>
        </w:rPr>
        <w:t>працівників;</w:t>
      </w:r>
    </w:p>
    <w:p>
      <w:pPr>
        <w:pStyle w:val="14"/>
        <w:spacing w:after="0"/>
        <w:jc w:val="both"/>
        <w:rPr>
          <w:rFonts w:ascii="Times New Roman" w:hAnsi="Times New Roman" w:cs="Times New Roman"/>
          <w:sz w:val="28"/>
          <w:szCs w:val="28"/>
        </w:rPr>
      </w:pPr>
    </w:p>
    <w:p>
      <w:pPr>
        <w:pStyle w:val="26"/>
        <w:widowControl w:val="0"/>
        <w:numPr>
          <w:ilvl w:val="0"/>
          <w:numId w:val="35"/>
        </w:numPr>
        <w:tabs>
          <w:tab w:val="left" w:pos="1441"/>
        </w:tabs>
        <w:autoSpaceDE w:val="0"/>
        <w:autoSpaceDN w:val="0"/>
        <w:spacing w:after="0" w:line="259" w:lineRule="auto"/>
        <w:contextualSpacing w:val="0"/>
        <w:jc w:val="both"/>
        <w:rPr>
          <w:rFonts w:ascii="Times New Roman" w:hAnsi="Times New Roman" w:cs="Times New Roman"/>
          <w:sz w:val="28"/>
          <w:szCs w:val="28"/>
        </w:rPr>
      </w:pPr>
      <w:r>
        <w:rPr>
          <w:rFonts w:ascii="Times New Roman" w:hAnsi="Times New Roman" w:cs="Times New Roman"/>
          <w:sz w:val="28"/>
          <w:szCs w:val="28"/>
        </w:rPr>
        <w:t>забезпечення наявності необхідних ресурсів для організації освітнього процесу та підтримки здобувачів</w:t>
      </w:r>
      <w:r>
        <w:rPr>
          <w:rFonts w:ascii="Times New Roman" w:hAnsi="Times New Roman" w:cs="Times New Roman"/>
          <w:spacing w:val="20"/>
          <w:sz w:val="28"/>
          <w:szCs w:val="28"/>
        </w:rPr>
        <w:t xml:space="preserve"> </w:t>
      </w:r>
      <w:r>
        <w:rPr>
          <w:rFonts w:ascii="Times New Roman" w:hAnsi="Times New Roman" w:cs="Times New Roman"/>
          <w:sz w:val="28"/>
          <w:szCs w:val="28"/>
        </w:rPr>
        <w:t>освіти;</w:t>
      </w:r>
    </w:p>
    <w:p>
      <w:pPr>
        <w:pStyle w:val="26"/>
        <w:widowControl w:val="0"/>
        <w:numPr>
          <w:ilvl w:val="0"/>
          <w:numId w:val="35"/>
        </w:numPr>
        <w:tabs>
          <w:tab w:val="left" w:pos="1440"/>
          <w:tab w:val="left" w:pos="1441"/>
        </w:tabs>
        <w:autoSpaceDE w:val="0"/>
        <w:autoSpaceDN w:val="0"/>
        <w:spacing w:after="0"/>
        <w:contextualSpacing w:val="0"/>
        <w:rPr>
          <w:rFonts w:ascii="Times New Roman" w:hAnsi="Times New Roman" w:cs="Times New Roman"/>
          <w:sz w:val="28"/>
          <w:szCs w:val="28"/>
        </w:rPr>
      </w:pPr>
      <w:r>
        <w:rPr>
          <w:rFonts w:ascii="Times New Roman" w:hAnsi="Times New Roman" w:cs="Times New Roman"/>
          <w:sz w:val="28"/>
          <w:szCs w:val="28"/>
        </w:rPr>
        <w:t>забезпечення публічності інформації про діяльність</w:t>
      </w:r>
      <w:r>
        <w:rPr>
          <w:rFonts w:ascii="Times New Roman" w:hAnsi="Times New Roman" w:cs="Times New Roman"/>
          <w:spacing w:val="25"/>
          <w:sz w:val="28"/>
          <w:szCs w:val="28"/>
        </w:rPr>
        <w:t xml:space="preserve"> </w:t>
      </w:r>
      <w:r>
        <w:rPr>
          <w:rFonts w:ascii="Times New Roman" w:hAnsi="Times New Roman" w:cs="Times New Roman"/>
          <w:sz w:val="28"/>
          <w:szCs w:val="28"/>
        </w:rPr>
        <w:t>закладу;</w:t>
      </w:r>
    </w:p>
    <w:p>
      <w:pPr>
        <w:pStyle w:val="26"/>
        <w:widowControl w:val="0"/>
        <w:numPr>
          <w:ilvl w:val="0"/>
          <w:numId w:val="35"/>
        </w:numPr>
        <w:tabs>
          <w:tab w:val="left" w:pos="1441"/>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 xml:space="preserve">створення системи запобігання </w:t>
      </w:r>
      <w:r>
        <w:rPr>
          <w:rFonts w:ascii="Times New Roman" w:hAnsi="Times New Roman" w:cs="Times New Roman"/>
          <w:spacing w:val="2"/>
          <w:sz w:val="28"/>
          <w:szCs w:val="28"/>
        </w:rPr>
        <w:t xml:space="preserve">та </w:t>
      </w:r>
      <w:r>
        <w:rPr>
          <w:rFonts w:ascii="Times New Roman" w:hAnsi="Times New Roman" w:cs="Times New Roman"/>
          <w:sz w:val="28"/>
          <w:szCs w:val="28"/>
        </w:rPr>
        <w:t>виявлення академічної недоброчесності в діяльності педагогічних працівників та здобувачів</w:t>
      </w:r>
      <w:r>
        <w:rPr>
          <w:rFonts w:ascii="Times New Roman" w:hAnsi="Times New Roman" w:cs="Times New Roman"/>
          <w:spacing w:val="5"/>
          <w:sz w:val="28"/>
          <w:szCs w:val="28"/>
        </w:rPr>
        <w:t xml:space="preserve"> </w:t>
      </w:r>
      <w:r>
        <w:rPr>
          <w:rFonts w:ascii="Times New Roman" w:hAnsi="Times New Roman" w:cs="Times New Roman"/>
          <w:sz w:val="28"/>
          <w:szCs w:val="28"/>
        </w:rPr>
        <w:t>освіти.</w:t>
      </w:r>
    </w:p>
    <w:p>
      <w:pPr>
        <w:pStyle w:val="14"/>
        <w:shd w:val="clear" w:color="auto" w:fill="D8D8D8" w:themeFill="background1" w:themeFillShade="D9"/>
        <w:spacing w:after="0"/>
        <w:jc w:val="center"/>
        <w:rPr>
          <w:rFonts w:ascii="Times New Roman" w:hAnsi="Times New Roman" w:cs="Times New Roman"/>
          <w:b/>
          <w:sz w:val="28"/>
          <w:szCs w:val="28"/>
          <w:lang w:val="uk-UA"/>
        </w:rPr>
      </w:pPr>
      <w:r>
        <w:rPr>
          <w:rFonts w:ascii="Times New Roman" w:hAnsi="Times New Roman" w:cs="Times New Roman"/>
          <w:b/>
          <w:sz w:val="28"/>
          <w:szCs w:val="28"/>
        </w:rPr>
        <w:t xml:space="preserve">Основними напрямками політики </w:t>
      </w:r>
    </w:p>
    <w:p>
      <w:pPr>
        <w:pStyle w:val="14"/>
        <w:shd w:val="clear" w:color="auto" w:fill="D8D8D8" w:themeFill="background1" w:themeFillShade="D9"/>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із забезпечення якості освітньої діяльності в закладі освіти є:</w:t>
      </w:r>
    </w:p>
    <w:p>
      <w:pPr>
        <w:pStyle w:val="26"/>
        <w:widowControl w:val="0"/>
        <w:numPr>
          <w:ilvl w:val="0"/>
          <w:numId w:val="35"/>
        </w:numPr>
        <w:tabs>
          <w:tab w:val="left" w:pos="1440"/>
          <w:tab w:val="left" w:pos="1441"/>
        </w:tabs>
        <w:autoSpaceDE w:val="0"/>
        <w:autoSpaceDN w:val="0"/>
        <w:spacing w:after="0"/>
        <w:contextualSpacing w:val="0"/>
        <w:rPr>
          <w:rFonts w:ascii="Times New Roman" w:hAnsi="Times New Roman" w:cs="Times New Roman"/>
          <w:sz w:val="28"/>
          <w:szCs w:val="28"/>
        </w:rPr>
      </w:pPr>
      <w:r>
        <w:rPr>
          <w:rFonts w:ascii="Times New Roman" w:hAnsi="Times New Roman" w:cs="Times New Roman"/>
          <w:sz w:val="28"/>
          <w:szCs w:val="28"/>
        </w:rPr>
        <w:t>якість</w:t>
      </w:r>
      <w:r>
        <w:rPr>
          <w:rFonts w:ascii="Times New Roman" w:hAnsi="Times New Roman" w:cs="Times New Roman"/>
          <w:spacing w:val="6"/>
          <w:sz w:val="28"/>
          <w:szCs w:val="28"/>
        </w:rPr>
        <w:t xml:space="preserve"> </w:t>
      </w:r>
      <w:r>
        <w:rPr>
          <w:rFonts w:ascii="Times New Roman" w:hAnsi="Times New Roman" w:cs="Times New Roman"/>
          <w:sz w:val="28"/>
          <w:szCs w:val="28"/>
        </w:rPr>
        <w:t>освіти;</w:t>
      </w:r>
    </w:p>
    <w:p>
      <w:pPr>
        <w:pStyle w:val="26"/>
        <w:widowControl w:val="0"/>
        <w:numPr>
          <w:ilvl w:val="0"/>
          <w:numId w:val="35"/>
        </w:numPr>
        <w:tabs>
          <w:tab w:val="left" w:pos="1441"/>
          <w:tab w:val="left" w:pos="9214"/>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 xml:space="preserve">рівень професійної компетентності педагогічних працівників і забезпечення їх вмотивованості </w:t>
      </w:r>
      <w:r>
        <w:rPr>
          <w:rFonts w:ascii="Times New Roman" w:hAnsi="Times New Roman" w:cs="Times New Roman"/>
          <w:spacing w:val="2"/>
          <w:sz w:val="28"/>
          <w:szCs w:val="28"/>
        </w:rPr>
        <w:t xml:space="preserve">до </w:t>
      </w:r>
      <w:r>
        <w:rPr>
          <w:rFonts w:ascii="Times New Roman" w:hAnsi="Times New Roman" w:cs="Times New Roman"/>
          <w:sz w:val="28"/>
          <w:szCs w:val="28"/>
        </w:rPr>
        <w:t>підвищення якості освітньої діяльності;</w:t>
      </w:r>
    </w:p>
    <w:p>
      <w:pPr>
        <w:pStyle w:val="26"/>
        <w:widowControl w:val="0"/>
        <w:numPr>
          <w:ilvl w:val="0"/>
          <w:numId w:val="35"/>
        </w:numPr>
        <w:tabs>
          <w:tab w:val="left" w:pos="1441"/>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якість реалізації освітніх програм, вдосконалення змісту, форм та методів освітньої діяльності та підвищення рівня об’єктивності оцінювання.</w:t>
      </w:r>
    </w:p>
    <w:p>
      <w:pPr>
        <w:pStyle w:val="14"/>
        <w:shd w:val="clear" w:color="auto" w:fill="D8D8D8" w:themeFill="background1" w:themeFillShade="D9"/>
        <w:spacing w:after="0"/>
        <w:ind w:left="720"/>
        <w:jc w:val="center"/>
        <w:rPr>
          <w:rFonts w:ascii="Times New Roman" w:hAnsi="Times New Roman" w:cs="Times New Roman"/>
          <w:b/>
          <w:sz w:val="28"/>
          <w:szCs w:val="28"/>
        </w:rPr>
      </w:pPr>
      <w:r>
        <w:rPr>
          <w:rFonts w:ascii="Times New Roman" w:hAnsi="Times New Roman" w:cs="Times New Roman"/>
          <w:b/>
          <w:sz w:val="28"/>
          <w:szCs w:val="28"/>
        </w:rPr>
        <w:t xml:space="preserve">Механізм функціонування системи забезпечення якості освіти </w:t>
      </w:r>
      <w:r>
        <w:rPr>
          <w:rFonts w:ascii="Times New Roman" w:hAnsi="Times New Roman" w:cs="Times New Roman"/>
          <w:b/>
          <w:sz w:val="28"/>
          <w:szCs w:val="28"/>
          <w:lang w:val="uk-UA"/>
        </w:rPr>
        <w:t xml:space="preserve">навчального закладу </w:t>
      </w:r>
      <w:r>
        <w:rPr>
          <w:rFonts w:ascii="Times New Roman" w:hAnsi="Times New Roman" w:cs="Times New Roman"/>
          <w:b/>
          <w:sz w:val="28"/>
          <w:szCs w:val="28"/>
        </w:rPr>
        <w:t xml:space="preserve">включає послідовну </w:t>
      </w:r>
      <w:r>
        <w:rPr>
          <w:rFonts w:ascii="Times New Roman" w:hAnsi="Times New Roman" w:cs="Times New Roman"/>
          <w:b/>
          <w:spacing w:val="2"/>
          <w:sz w:val="28"/>
          <w:szCs w:val="28"/>
        </w:rPr>
        <w:t xml:space="preserve">підготовку </w:t>
      </w:r>
      <w:r>
        <w:rPr>
          <w:rFonts w:ascii="Times New Roman" w:hAnsi="Times New Roman" w:cs="Times New Roman"/>
          <w:b/>
          <w:sz w:val="28"/>
          <w:szCs w:val="28"/>
        </w:rPr>
        <w:t>та практичну реалізацію наступних етапів</w:t>
      </w:r>
      <w:r>
        <w:rPr>
          <w:rFonts w:ascii="Times New Roman" w:hAnsi="Times New Roman" w:cs="Times New Roman"/>
          <w:b/>
          <w:spacing w:val="14"/>
          <w:sz w:val="28"/>
          <w:szCs w:val="28"/>
        </w:rPr>
        <w:t xml:space="preserve"> </w:t>
      </w:r>
      <w:r>
        <w:rPr>
          <w:rFonts w:ascii="Times New Roman" w:hAnsi="Times New Roman" w:cs="Times New Roman"/>
          <w:b/>
          <w:sz w:val="28"/>
          <w:szCs w:val="28"/>
        </w:rPr>
        <w:t>управління:</w:t>
      </w:r>
    </w:p>
    <w:p>
      <w:pPr>
        <w:pStyle w:val="26"/>
        <w:widowControl w:val="0"/>
        <w:numPr>
          <w:ilvl w:val="0"/>
          <w:numId w:val="35"/>
        </w:numPr>
        <w:tabs>
          <w:tab w:val="left" w:pos="1441"/>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 xml:space="preserve">планування (аналіз сучасного </w:t>
      </w:r>
      <w:r>
        <w:rPr>
          <w:rFonts w:ascii="Times New Roman" w:hAnsi="Times New Roman" w:cs="Times New Roman"/>
          <w:spacing w:val="2"/>
          <w:sz w:val="28"/>
          <w:szCs w:val="28"/>
        </w:rPr>
        <w:t xml:space="preserve">стану </w:t>
      </w:r>
      <w:r>
        <w:rPr>
          <w:rFonts w:ascii="Times New Roman" w:hAnsi="Times New Roman" w:cs="Times New Roman"/>
          <w:sz w:val="28"/>
          <w:szCs w:val="28"/>
        </w:rPr>
        <w:t>освітньої діяльності та освітнього процесу; визначення сильних сторін і проблем у розвитку; визначення пріоритетних цілей та розробка планів їх реалізації);</w:t>
      </w:r>
    </w:p>
    <w:p>
      <w:pPr>
        <w:pStyle w:val="26"/>
        <w:widowControl w:val="0"/>
        <w:numPr>
          <w:ilvl w:val="0"/>
          <w:numId w:val="35"/>
        </w:numPr>
        <w:tabs>
          <w:tab w:val="left" w:pos="1441"/>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 xml:space="preserve">організацію (переформатування/створення організаційної структури </w:t>
      </w:r>
      <w:r>
        <w:rPr>
          <w:rFonts w:ascii="Times New Roman" w:hAnsi="Times New Roman" w:cs="Times New Roman"/>
          <w:spacing w:val="2"/>
          <w:sz w:val="28"/>
          <w:szCs w:val="28"/>
        </w:rPr>
        <w:t xml:space="preserve">для </w:t>
      </w:r>
      <w:r>
        <w:rPr>
          <w:rFonts w:ascii="Times New Roman" w:hAnsi="Times New Roman" w:cs="Times New Roman"/>
          <w:sz w:val="28"/>
          <w:szCs w:val="28"/>
        </w:rPr>
        <w:t xml:space="preserve">досягнення поставлених цілей; визначення, розподіл </w:t>
      </w:r>
      <w:r>
        <w:rPr>
          <w:rFonts w:ascii="Times New Roman" w:hAnsi="Times New Roman" w:cs="Times New Roman"/>
          <w:spacing w:val="2"/>
          <w:sz w:val="28"/>
          <w:szCs w:val="28"/>
        </w:rPr>
        <w:t xml:space="preserve">та </w:t>
      </w:r>
      <w:r>
        <w:rPr>
          <w:rFonts w:ascii="Times New Roman" w:hAnsi="Times New Roman" w:cs="Times New Roman"/>
          <w:sz w:val="28"/>
          <w:szCs w:val="28"/>
        </w:rPr>
        <w:t>розмежування повноважень із метою координування  та взаємодії у процесі виконання</w:t>
      </w:r>
      <w:r>
        <w:rPr>
          <w:rFonts w:ascii="Times New Roman" w:hAnsi="Times New Roman" w:cs="Times New Roman"/>
          <w:spacing w:val="10"/>
          <w:sz w:val="28"/>
          <w:szCs w:val="28"/>
        </w:rPr>
        <w:t xml:space="preserve"> </w:t>
      </w:r>
      <w:r>
        <w:rPr>
          <w:rFonts w:ascii="Times New Roman" w:hAnsi="Times New Roman" w:cs="Times New Roman"/>
          <w:sz w:val="28"/>
          <w:szCs w:val="28"/>
        </w:rPr>
        <w:t>завдань);</w:t>
      </w:r>
    </w:p>
    <w:p>
      <w:pPr>
        <w:pStyle w:val="26"/>
        <w:widowControl w:val="0"/>
        <w:numPr>
          <w:ilvl w:val="0"/>
          <w:numId w:val="35"/>
        </w:numPr>
        <w:tabs>
          <w:tab w:val="left" w:pos="1441"/>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 xml:space="preserve">контроль (розробка процедур вимірювання </w:t>
      </w:r>
      <w:r>
        <w:rPr>
          <w:rFonts w:ascii="Times New Roman" w:hAnsi="Times New Roman" w:cs="Times New Roman"/>
          <w:spacing w:val="2"/>
          <w:sz w:val="28"/>
          <w:szCs w:val="28"/>
        </w:rPr>
        <w:t xml:space="preserve">та </w:t>
      </w:r>
      <w:r>
        <w:rPr>
          <w:rFonts w:ascii="Times New Roman" w:hAnsi="Times New Roman" w:cs="Times New Roman"/>
          <w:sz w:val="28"/>
          <w:szCs w:val="28"/>
        </w:rPr>
        <w:t xml:space="preserve">зіставлення отриманих результатів </w:t>
      </w:r>
      <w:r>
        <w:rPr>
          <w:rFonts w:ascii="Times New Roman" w:hAnsi="Times New Roman" w:cs="Times New Roman"/>
          <w:spacing w:val="2"/>
          <w:sz w:val="28"/>
          <w:szCs w:val="28"/>
        </w:rPr>
        <w:t>зі</w:t>
      </w:r>
      <w:r>
        <w:rPr>
          <w:rFonts w:ascii="Times New Roman" w:hAnsi="Times New Roman" w:cs="Times New Roman"/>
          <w:spacing w:val="3"/>
          <w:sz w:val="28"/>
          <w:szCs w:val="28"/>
        </w:rPr>
        <w:t xml:space="preserve"> </w:t>
      </w:r>
      <w:r>
        <w:rPr>
          <w:rFonts w:ascii="Times New Roman" w:hAnsi="Times New Roman" w:cs="Times New Roman"/>
          <w:sz w:val="28"/>
          <w:szCs w:val="28"/>
        </w:rPr>
        <w:t>стандартами);</w:t>
      </w:r>
    </w:p>
    <w:p>
      <w:pPr>
        <w:pStyle w:val="26"/>
        <w:widowControl w:val="0"/>
        <w:numPr>
          <w:ilvl w:val="0"/>
          <w:numId w:val="35"/>
        </w:numPr>
        <w:tabs>
          <w:tab w:val="left" w:pos="1441"/>
        </w:tabs>
        <w:autoSpaceDE w:val="0"/>
        <w:autoSpaceDN w:val="0"/>
        <w:spacing w:after="0"/>
        <w:contextualSpacing w:val="0"/>
        <w:jc w:val="both"/>
        <w:rPr>
          <w:rFonts w:ascii="Times New Roman" w:hAnsi="Times New Roman" w:cs="Times New Roman"/>
          <w:sz w:val="28"/>
          <w:szCs w:val="28"/>
        </w:rPr>
      </w:pPr>
      <w:r>
        <w:rPr>
          <w:rFonts w:ascii="Times New Roman" w:hAnsi="Times New Roman" w:cs="Times New Roman"/>
          <w:sz w:val="28"/>
          <w:szCs w:val="28"/>
        </w:rPr>
        <w:t xml:space="preserve">коригування (визначення </w:t>
      </w:r>
      <w:r>
        <w:rPr>
          <w:rFonts w:ascii="Times New Roman" w:hAnsi="Times New Roman" w:cs="Times New Roman"/>
          <w:spacing w:val="2"/>
          <w:sz w:val="28"/>
          <w:szCs w:val="28"/>
        </w:rPr>
        <w:t xml:space="preserve">та </w:t>
      </w:r>
      <w:r>
        <w:rPr>
          <w:rFonts w:ascii="Times New Roman" w:hAnsi="Times New Roman" w:cs="Times New Roman"/>
          <w:sz w:val="28"/>
          <w:szCs w:val="28"/>
        </w:rPr>
        <w:t xml:space="preserve">реалізація необхідних </w:t>
      </w:r>
      <w:r>
        <w:rPr>
          <w:rFonts w:ascii="Times New Roman" w:hAnsi="Times New Roman" w:cs="Times New Roman"/>
          <w:spacing w:val="2"/>
          <w:sz w:val="28"/>
          <w:szCs w:val="28"/>
        </w:rPr>
        <w:t xml:space="preserve">дій та </w:t>
      </w:r>
      <w:r>
        <w:rPr>
          <w:rFonts w:ascii="Times New Roman" w:hAnsi="Times New Roman" w:cs="Times New Roman"/>
          <w:sz w:val="28"/>
          <w:szCs w:val="28"/>
        </w:rPr>
        <w:t>заходів, націлених на стимулювання процесу досягнення максимальної відповідності</w:t>
      </w:r>
      <w:r>
        <w:rPr>
          <w:rFonts w:ascii="Times New Roman" w:hAnsi="Times New Roman" w:cs="Times New Roman"/>
          <w:spacing w:val="-1"/>
          <w:sz w:val="28"/>
          <w:szCs w:val="28"/>
        </w:rPr>
        <w:t xml:space="preserve"> </w:t>
      </w:r>
      <w:r>
        <w:rPr>
          <w:rFonts w:ascii="Times New Roman" w:hAnsi="Times New Roman" w:cs="Times New Roman"/>
          <w:sz w:val="28"/>
          <w:szCs w:val="28"/>
        </w:rPr>
        <w:t>стандартам).</w:t>
      </w:r>
    </w:p>
    <w:p>
      <w:pPr>
        <w:pStyle w:val="26"/>
        <w:spacing w:after="0"/>
        <w:jc w:val="both"/>
        <w:rPr>
          <w:rFonts w:ascii="Times New Roman" w:hAnsi="Times New Roman" w:eastAsia="Times New Roman" w:cs="Times New Roman"/>
          <w:sz w:val="28"/>
          <w:szCs w:val="28"/>
          <w:lang w:val="uk-UA" w:eastAsia="ru-RU"/>
        </w:rPr>
      </w:pPr>
    </w:p>
    <w:p>
      <w:pPr>
        <w:pStyle w:val="26"/>
        <w:spacing w:after="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sz w:val="28"/>
          <w:szCs w:val="28"/>
          <w:lang w:val="uk-UA" w:eastAsia="ru-RU"/>
        </w:rPr>
      </w:pPr>
    </w:p>
    <w:p>
      <w:pPr>
        <w:spacing w:after="0"/>
        <w:ind w:firstLine="360"/>
        <w:jc w:val="both"/>
        <w:rPr>
          <w:rFonts w:ascii="Times New Roman" w:hAnsi="Times New Roman" w:eastAsia="Times New Roman" w:cs="Times New Roman"/>
          <w:b/>
          <w:i/>
          <w:sz w:val="28"/>
          <w:szCs w:val="28"/>
          <w:lang w:val="uk-UA" w:eastAsia="ru-RU"/>
        </w:rPr>
      </w:pPr>
      <w:r>
        <w:rPr>
          <w:rFonts w:ascii="Times New Roman" w:hAnsi="Times New Roman" w:eastAsia="Times New Roman" w:cs="Times New Roman"/>
          <w:b/>
          <w:i/>
          <w:sz w:val="28"/>
          <w:szCs w:val="28"/>
          <w:lang w:val="uk-UA" w:eastAsia="ru-RU"/>
        </w:rPr>
        <w:t>6.1. Стандарти і критерії оцінювання основних напрямків внутрішньої системи забезпечення освіти закладу:</w:t>
      </w:r>
    </w:p>
    <w:tbl>
      <w:tblPr>
        <w:tblStyle w:val="7"/>
        <w:tblW w:w="11091" w:type="dxa"/>
        <w:tblInd w:w="-723" w:type="dxa"/>
        <w:tblLayout w:type="fixed"/>
        <w:tblCellMar>
          <w:top w:w="0" w:type="dxa"/>
          <w:left w:w="0" w:type="dxa"/>
          <w:bottom w:w="0" w:type="dxa"/>
          <w:right w:w="0" w:type="dxa"/>
        </w:tblCellMar>
      </w:tblPr>
      <w:tblGrid>
        <w:gridCol w:w="567"/>
        <w:gridCol w:w="2269"/>
        <w:gridCol w:w="425"/>
        <w:gridCol w:w="3098"/>
        <w:gridCol w:w="4732"/>
      </w:tblGrid>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ind w:left="-107" w:firstLine="68"/>
              <w:jc w:val="center"/>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 п/п</w:t>
            </w:r>
          </w:p>
        </w:tc>
        <w:tc>
          <w:tcPr>
            <w:tcW w:w="2694" w:type="dxa"/>
            <w:gridSpan w:val="2"/>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Стандарт</w:t>
            </w:r>
          </w:p>
        </w:tc>
        <w:tc>
          <w:tcPr>
            <w:tcW w:w="3098" w:type="dxa"/>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Основні напрямки, які підлягають оцінюванню</w:t>
            </w:r>
          </w:p>
        </w:tc>
        <w:tc>
          <w:tcPr>
            <w:tcW w:w="4732" w:type="dxa"/>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b/>
                <w:i/>
                <w:sz w:val="28"/>
                <w:szCs w:val="28"/>
                <w:lang w:eastAsia="ru-RU"/>
              </w:rPr>
            </w:pPr>
            <w:r>
              <w:rPr>
                <w:rFonts w:ascii="Times New Roman" w:hAnsi="Times New Roman" w:eastAsia="Times New Roman" w:cs="Times New Roman"/>
                <w:b/>
                <w:i/>
                <w:sz w:val="28"/>
                <w:szCs w:val="28"/>
                <w:lang w:eastAsia="ru-RU"/>
              </w:rPr>
              <w:t>Орієнтовні критерії для самооцінювання</w:t>
            </w:r>
          </w:p>
        </w:tc>
      </w:tr>
      <w:tr>
        <w:tblPrEx>
          <w:tblCellMar>
            <w:top w:w="0" w:type="dxa"/>
            <w:left w:w="0" w:type="dxa"/>
            <w:bottom w:w="0" w:type="dxa"/>
            <w:right w:w="0" w:type="dxa"/>
          </w:tblCellMar>
        </w:tblPrEx>
        <w:tc>
          <w:tcPr>
            <w:tcW w:w="11091" w:type="dxa"/>
            <w:gridSpan w:val="5"/>
            <w:tcBorders>
              <w:top w:val="single" w:color="2C4187" w:sz="6" w:space="0"/>
              <w:left w:val="single" w:color="2C4187" w:sz="6" w:space="0"/>
              <w:bottom w:val="single" w:color="2C4187" w:sz="6" w:space="0"/>
              <w:right w:val="single" w:color="2C4187" w:sz="6" w:space="0"/>
            </w:tcBorders>
            <w:shd w:val="clear" w:color="auto" w:fill="8DB3E2" w:themeFill="text2" w:themeFillTint="66"/>
            <w:tcMar>
              <w:top w:w="72" w:type="dxa"/>
              <w:left w:w="72" w:type="dxa"/>
              <w:bottom w:w="72" w:type="dxa"/>
              <w:right w:w="72" w:type="dxa"/>
            </w:tcMar>
            <w:vAlign w:val="center"/>
          </w:tcPr>
          <w:p>
            <w:pPr>
              <w:spacing w:after="0" w:line="240" w:lineRule="auto"/>
              <w:ind w:left="-107" w:firstLine="68"/>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Розділ І. Освітнє середовище закладу</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Забезпечення безпечних та комфортних умов для навчання та праці</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д</w:t>
            </w:r>
            <w:r>
              <w:rPr>
                <w:rFonts w:ascii="Times New Roman" w:hAnsi="Times New Roman" w:eastAsia="Times New Roman" w:cs="Times New Roman"/>
                <w:sz w:val="28"/>
                <w:szCs w:val="28"/>
                <w:lang w:eastAsia="ru-RU"/>
              </w:rPr>
              <w:t xml:space="preserve">отримання санітарних вимог та нормативних актів;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-безпека життєдіяльності;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-спеціальне навчальне обладнання;</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-бібліотека;</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-здоров’язбережувальна компетентність школи;</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-наявність і безпечність інтернету.</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Приміщення, територія школи облаштовані та обладнані з урахуванням принципів універсального дизайну і розумного пристосування, санітарно -гігієнічних вимог; забезпечена фізична доступність архітектурних елементів будівлі та території. </w:t>
            </w:r>
            <w:r>
              <w:rPr>
                <w:rFonts w:ascii="Times New Roman" w:hAnsi="Times New Roman" w:eastAsia="Times New Roman" w:cs="Times New Roman"/>
                <w:sz w:val="28"/>
                <w:szCs w:val="28"/>
                <w:lang w:eastAsia="ru-RU"/>
              </w:rPr>
              <w:t>Учасники освітнього процесу знають вимоги охорони праці, безпеки життєдіяльності, пожежної безпеки, правила поведінки в умовах надзвичайних ситуацій та дотримуються цих вимог і правил. Педагогічні працівники обізнані з правилами реагування у разі, якщо учасник освітнього процесу травмується та/або в нього раптово погіршиться самопочуття, і вживають необхідних заходів у таких ситуаціях. Дизайн освітнього середовища функціональний та адаптивний, що дає змогу максимально ефективно використовувати приміщення й територію закладу в освітньому процесі. Заклад освіти забезпечений обладнаними навчальними та допоміжними приміщеннями, кабінетами, лабораторіями та засобами навчання, зокрема підручниками, дидактичними матеріалами, обладнанням, для реалізації освітньої програми.</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Бібліотека функціонує як інформаційний центр закладу освіти.</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У закладі освіти створені умови для здорового харчування учнів. Освітнє середовище закладу мотивує учнів оволодівати ключовими компетентностями та спонукає їх вести здоровий та екологічний спосіб життя.</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У закладі створені умови для безпечного використання інтернету, формування інформаційно</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-цифрових компетентностей, зокрема навичок безпечної поведінки та кібербезпеки.</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Створення освітнього середовища, вільного від будь-яких форм насильства та дискримінації</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к</w:t>
            </w:r>
            <w:r>
              <w:rPr>
                <w:rFonts w:ascii="Times New Roman" w:hAnsi="Times New Roman" w:eastAsia="Times New Roman" w:cs="Times New Roman"/>
                <w:sz w:val="28"/>
                <w:szCs w:val="28"/>
                <w:lang w:eastAsia="ru-RU"/>
              </w:rPr>
              <w:t>омфортне психологічне середовище;</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-міжособистісна взаємодія учасників освітнього процесу;</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-протидія б</w:t>
            </w:r>
            <w:r>
              <w:rPr>
                <w:rFonts w:ascii="Times New Roman" w:hAnsi="Times New Roman" w:eastAsia="Times New Roman" w:cs="Times New Roman"/>
                <w:sz w:val="28"/>
                <w:szCs w:val="28"/>
                <w:lang w:val="uk-UA" w:eastAsia="ru-RU"/>
              </w:rPr>
              <w:t>у</w:t>
            </w:r>
            <w:r>
              <w:rPr>
                <w:rFonts w:ascii="Times New Roman" w:hAnsi="Times New Roman" w:eastAsia="Times New Roman" w:cs="Times New Roman"/>
                <w:sz w:val="28"/>
                <w:szCs w:val="28"/>
                <w:lang w:eastAsia="ru-RU"/>
              </w:rPr>
              <w:t>лінгу;</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-правила поведінки;</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-партнерство і повага;</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-психологічний супровід.</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Заклад освіти веде активну політику щодо профілактики насильства — має антибулінгову програму, кодекс безпечної школи тощо. Політику щодо профілактики насильства приймають усі учасники освітнього процесу. Вони ознайомлені з відповідною програмою чи кодексом. У закладі освіти розроблені чіткі й зрозумілі всім учасникам освітнього процесу правила поведінки, що базуються на взаємній повазі. Керівництво закладу, педагогічні працівники володіють методиками раннього визначення ознак фізичного і психологічного насильства, зокрема такого, як булінг і мобінг, та знають, як реагувати на їх прояви. За потреби заклад освіти звертається по допомогу до поліції, соціальної служби тощо. У закладі освіти учні можуть отримати психологічні консультації та психосоціальну підтримку. У закладі освіти налагоджена робота з батьками із запобігання насильству щодо дітей, булінгу, кібербулінгу тощо, а також робота з подолання цих проблем.</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Формування інклюзивного, розвивального та мотивуючого до навчання освітнього простору</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і</w:t>
            </w:r>
            <w:r>
              <w:rPr>
                <w:rFonts w:ascii="Times New Roman" w:hAnsi="Times New Roman" w:eastAsia="Times New Roman" w:cs="Times New Roman"/>
                <w:sz w:val="28"/>
                <w:szCs w:val="28"/>
                <w:lang w:eastAsia="ru-RU"/>
              </w:rPr>
              <w:t>нклюзивні цінності;</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-адаптація;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-взаємодія з ІРЦ;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-взаємодія з батьками.</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Заклад освіти забезпечує рівний доступ до навчання усім дітям. Заклад освіти культивує повагу до прав людини та протидіє будь-яким проявам дискримінації. У закладі розроблені та втілюються підходи для комфортної адаптації та інтеграції учнів до освітнього процесу, а також власні підходи до комфортної адаптації нових працівників. У закладі достатня кількість працівників для надання необхідної підтримки учням з особливими освітніми потребами. Заклад піклується про те, аби учні з особливими освітніми потребами були забезпечені необхідними корекційно-розвитковими послугами. Педагогічні працівники впроваджують методики і технології для роботи з дітьми з особливими освітніми потребами. У педагогічному колективі сформована культура співпраці, педагоги дотримуються командного підходу щодо навчання дітей з особливими освітніми потребами. Заклад співпрацює з інклюзивно-ресурсним центром і залучає його фахівців для розроблення індивідуальних програм розвитку та психолого-педагогічного супроводу учнів з особливими освітніми потребами в освітньому процесі. ·Заклад освіти підтримує зв’язок з родинами учнів з особливими освітніми потребами, залучає їх до команди фахівців з розроблення індивідуальних програм розвитку та надає іншу необхідну підтримку під час навчання.</w:t>
            </w:r>
          </w:p>
        </w:tc>
      </w:tr>
      <w:tr>
        <w:tblPrEx>
          <w:tblCellMar>
            <w:top w:w="0" w:type="dxa"/>
            <w:left w:w="0" w:type="dxa"/>
            <w:bottom w:w="0" w:type="dxa"/>
            <w:right w:w="0" w:type="dxa"/>
          </w:tblCellMar>
        </w:tblPrEx>
        <w:tc>
          <w:tcPr>
            <w:tcW w:w="11091" w:type="dxa"/>
            <w:gridSpan w:val="5"/>
            <w:tcBorders>
              <w:top w:val="single" w:color="2C4187" w:sz="6" w:space="0"/>
              <w:left w:val="single" w:color="2C4187" w:sz="6" w:space="0"/>
              <w:bottom w:val="single" w:color="2C4187" w:sz="6" w:space="0"/>
              <w:right w:val="single" w:color="2C4187" w:sz="6" w:space="0"/>
            </w:tcBorders>
            <w:shd w:val="clear" w:color="auto" w:fill="8DB3E2" w:themeFill="text2" w:themeFillTint="66"/>
            <w:tcMar>
              <w:top w:w="72" w:type="dxa"/>
              <w:left w:w="72" w:type="dxa"/>
              <w:bottom w:w="72" w:type="dxa"/>
              <w:right w:w="72" w:type="dxa"/>
            </w:tcMar>
            <w:vAlign w:val="center"/>
          </w:tcPr>
          <w:p>
            <w:pPr>
              <w:spacing w:after="0" w:line="240" w:lineRule="auto"/>
              <w:ind w:left="-107" w:firstLine="68"/>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Розділ ІІ. Система оцінювання здобувачів освіти</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2.1.</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b/>
                <w:sz w:val="28"/>
                <w:szCs w:val="28"/>
                <w:lang w:eastAsia="ru-RU"/>
              </w:rPr>
              <w:t>Заклад використовує систему оцінювання як інструмент спостереження за навчальним поступом учня та індикатор вдосконалення</w:t>
            </w:r>
            <w:r>
              <w:rPr>
                <w:rFonts w:ascii="Times New Roman" w:hAnsi="Times New Roman" w:eastAsia="Times New Roman" w:cs="Times New Roman"/>
                <w:sz w:val="28"/>
                <w:szCs w:val="28"/>
                <w:lang w:eastAsia="ru-RU"/>
              </w:rPr>
              <w:t xml:space="preserve"> </w:t>
            </w:r>
            <w:r>
              <w:rPr>
                <w:rFonts w:ascii="Times New Roman" w:hAnsi="Times New Roman" w:eastAsia="Times New Roman" w:cs="Times New Roman"/>
                <w:b/>
                <w:sz w:val="28"/>
                <w:szCs w:val="28"/>
                <w:lang w:eastAsia="ru-RU"/>
              </w:rPr>
              <w:t>якості освіти</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-обізнаність з критеріями оцінювання;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-підходи до оцінювання;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-динаміка показників</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У закладі освіти оприлюднені критерії оцінювання навчальних досягнень учнів з предметів і курсів робочого навчального плану, розроблені відповідно до нормативних документів, освітньої програми закладу освіти та на основі компетентнісного підходу. У закладі освіти аналізують результати та динаміку навчальних досягнень учнів, на основі яких готують аналітичні документи та приймають рішення про підвищення якості освітнього процесу, мотивації навчальної діяльності учнів.</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2.2.</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У закладі освіти відкрита, прозора і зрозуміла для учнів система оцінювання</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о</w:t>
            </w:r>
            <w:r>
              <w:rPr>
                <w:rFonts w:ascii="Times New Roman" w:hAnsi="Times New Roman" w:eastAsia="Times New Roman" w:cs="Times New Roman"/>
                <w:sz w:val="28"/>
                <w:szCs w:val="28"/>
                <w:lang w:eastAsia="ru-RU"/>
              </w:rPr>
              <w:t>бґрунтування;</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-дотримання академічної доброчесності;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-формувальне оцінювання</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uk-UA" w:eastAsia="ru-RU"/>
              </w:rPr>
              <w:t xml:space="preserve">Учні отримують вичерпну інформацію щодо критеріїв оцінювання навчальних досягнень і розуміють їх. · Під час оцінювання навчальних досягнень учнів учителі дотримуються принципів академічної доброчесності, і, відповідно, заохочують учнів дотримуватися її. </w:t>
            </w:r>
            <w:r>
              <w:rPr>
                <w:rFonts w:ascii="Times New Roman" w:hAnsi="Times New Roman" w:eastAsia="Times New Roman" w:cs="Times New Roman"/>
                <w:sz w:val="28"/>
                <w:szCs w:val="28"/>
                <w:lang w:eastAsia="ru-RU"/>
              </w:rPr>
              <w:t>У закладі використовують формувальне оцінювання навчальних досягнень учнів, спрямоване відстежувати індивідуальний прогрес кожного учня.</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Спрямованість системи оцінювання на формування у здобувачів освіти відповідальності за результати свого навчання, здатності до само оцінювання</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–відстежування прогресу;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-вплив на активність життєвої позиції;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-сприяння формуванню ціннісних орієнтирів та чіткої громадянської позиції.</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Учні задоволені освітнім процесом і тим, як їхні досягнення оцінюють у закладі освіти. Заклад освіти розвиває в учнів почуття відповідальності за результати власної освітньої діяльності; учні здатні оцінити свої можливості й ставити цілі особистісного розвитку. Учні виявляють громадянську активність та ініціативу, беруть участь у житті класу, закладу освіти, місцевої громади, суспільства загалом. Отже, оцінювати результати навчання у закладі освіти слід за трьома стандартами: навчальний поступ учня як індикатор якості освіти, прозорість системи оцінювання навчальних досягнень та особистісна відповідальність учнів за результати навчання.</w:t>
            </w:r>
          </w:p>
        </w:tc>
      </w:tr>
      <w:tr>
        <w:tblPrEx>
          <w:tblCellMar>
            <w:top w:w="0" w:type="dxa"/>
            <w:left w:w="0" w:type="dxa"/>
            <w:bottom w:w="0" w:type="dxa"/>
            <w:right w:w="0" w:type="dxa"/>
          </w:tblCellMar>
        </w:tblPrEx>
        <w:tc>
          <w:tcPr>
            <w:tcW w:w="11091" w:type="dxa"/>
            <w:gridSpan w:val="5"/>
            <w:tcBorders>
              <w:top w:val="single" w:color="2C4187" w:sz="6" w:space="0"/>
              <w:left w:val="single" w:color="2C4187" w:sz="6" w:space="0"/>
              <w:bottom w:val="single" w:color="2C4187" w:sz="6" w:space="0"/>
              <w:right w:val="single" w:color="2C4187" w:sz="6" w:space="0"/>
            </w:tcBorders>
            <w:shd w:val="clear" w:color="auto" w:fill="8DB3E2" w:themeFill="text2" w:themeFillTint="66"/>
            <w:tcMar>
              <w:top w:w="72" w:type="dxa"/>
              <w:left w:w="72" w:type="dxa"/>
              <w:bottom w:w="72" w:type="dxa"/>
              <w:right w:w="72" w:type="dxa"/>
            </w:tcMar>
            <w:vAlign w:val="center"/>
          </w:tcPr>
          <w:p>
            <w:pPr>
              <w:spacing w:after="0" w:line="240" w:lineRule="auto"/>
              <w:ind w:left="-107" w:firstLine="68"/>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Розділ ІІІ. Педагогічна діяльність педагогічних працівників закладу</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3.1.</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Педагогічні працівники спрямовують свою діяльність на оволодіння учнями ключовими компетентностями через використання сучасних технологій в освітньому процесі</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з</w:t>
            </w:r>
            <w:r>
              <w:rPr>
                <w:rFonts w:ascii="Times New Roman" w:hAnsi="Times New Roman" w:eastAsia="Times New Roman" w:cs="Times New Roman"/>
                <w:sz w:val="28"/>
                <w:szCs w:val="28"/>
                <w:lang w:eastAsia="ru-RU"/>
              </w:rPr>
              <w:t xml:space="preserve">орієнтованість на формування ключових компетентностей;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-враховування індивідуальної освітньої траєкторії кожного учня;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-наскрізний процес виховання.</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Педагогічні працівники:</w:t>
            </w:r>
          </w:p>
          <w:p>
            <w:pPr>
              <w:numPr>
                <w:ilvl w:val="0"/>
                <w:numId w:val="36"/>
              </w:numPr>
              <w:spacing w:after="0" w:line="240" w:lineRule="auto"/>
              <w:ind w:left="2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застосовують компетентнісний підхід у викладанні та використовують різні форми і методи проведення навчальних занять, які спрямовані на творчий розвиток учнів, їх самостійну та аналітичну роботу;</w:t>
            </w:r>
          </w:p>
          <w:p>
            <w:pPr>
              <w:numPr>
                <w:ilvl w:val="0"/>
                <w:numId w:val="36"/>
              </w:numPr>
              <w:spacing w:after="0" w:line="240" w:lineRule="auto"/>
              <w:ind w:left="2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розробляють індивідуальні освітні траєкторії учнів;</w:t>
            </w:r>
          </w:p>
          <w:p>
            <w:pPr>
              <w:numPr>
                <w:ilvl w:val="0"/>
                <w:numId w:val="36"/>
              </w:numPr>
              <w:spacing w:after="0" w:line="240" w:lineRule="auto"/>
              <w:ind w:left="24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забезпечують наскрізний процес виховання, який формує загальнолюдські цінності, сприяє розвитку патріотизму.</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3.2.</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Педагогічні працівники закладу планують свою роботу та прогнозують результати своєї діяльності</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-раціональний розподіл навчального матеріалу;</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-критерії оцінювання;</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-об'єктивність оцінювання; -зовнішні і внутрішні моніторинги.</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Педагоги розробляють навчально-тематичні програми, календарно-тематичні плани з предметів і курсів, зміст яких відповідає Державним стандартам загальної середньої освіти та враховує умови й специфіку роботи закладу освіти. Педагоги використовують наявні, а також розробляють і оприлюднюють нові критерії оцінювання навчальних досягнень учнів, що відповідають нормативним документам і компетентнісному підходу, а також інформують учнів про ці критерії. Результати зовнішніх моніторингів, державної підсумкової атестації корелюють з підсумковим оцінюванням навчальних досягнень учнів з предмету (курсу).</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3.3.</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Забезпечення підвищення рівня професійної компетентності та майстерності педагогічних працівників</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н</w:t>
            </w:r>
            <w:r>
              <w:rPr>
                <w:rFonts w:ascii="Times New Roman" w:hAnsi="Times New Roman" w:eastAsia="Times New Roman" w:cs="Times New Roman"/>
                <w:sz w:val="28"/>
                <w:szCs w:val="28"/>
                <w:lang w:eastAsia="ru-RU"/>
              </w:rPr>
              <w:t>апрями професійного зростання;</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-система мотивації педагогів;</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-участь у дослідницько-експериментальній роботі; -створення власних освітніх продуктів;</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-використання ІКТ;</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-обізнаність з нормативно-правовими актами в галузі освіти;</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-володіння державною мовою.</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Педагогічні працівники: </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xml:space="preserve">підвищують свою кваліфікацію, проходять чергову атестацію, сертифікацію;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·-дотримуються у професійному зростанні стратегії, специфіки роботи та освітньої програми закладу освіти; ·-беруть участь у дослідницько-експериментальній роботі, в освітніх проектах, робочих групах, залучаються до роботи як освітні експерти;</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-·мають оприлюднені публікації та розробки, створюють власний освітній продукт, беруть участь в обміні досвідом; ·використовують інформаційно-комунікативні технології в освітньому процесі;             ·-обізнані з вимогами нормативно-правових актів у галузі освіти та дотримуються їх;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 -використовують виключно державну мову під час навчальних занять та в позаурочний час, а також послуговуються науковою і педагогічною термінологією українською мовою.</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3.3.</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Діяльність педагогічних працівників грунтується на партнерстві між учнями, вчителями і батьками</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-конструктивні комунікації;</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-постійний діалог з батьками;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xml:space="preserve">-всебічна підтримка педагога;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-співпраця педагогів, командна робота.</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освітній діяльності педагогічні працівники: надають всебічну підтримку учням та застосовують індивідуальний підхід у роботі з ними;</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 взаємодіють з батьками щодо питань удосконалення освітньої діяльності, забезпечують постійний зворотний зв’язок;</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-співпрацюють з колегами, обговорюють з ними проблеми та реалізовують спільні проекти;</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3.4.</w:t>
            </w:r>
          </w:p>
        </w:tc>
        <w:tc>
          <w:tcPr>
            <w:tcW w:w="2269"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Організація педагогічної діяльності та навчання здобувачів освіти відбувається на засадах академічної доброчесності</w:t>
            </w:r>
          </w:p>
        </w:tc>
        <w:tc>
          <w:tcPr>
            <w:tcW w:w="3523"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-дотримання академічної доброчесност;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-стимулювання учнів до дотримання ак</w:t>
            </w:r>
            <w:r>
              <w:rPr>
                <w:rFonts w:ascii="Times New Roman" w:hAnsi="Times New Roman" w:eastAsia="Times New Roman" w:cs="Times New Roman"/>
                <w:sz w:val="28"/>
                <w:szCs w:val="28"/>
                <w:lang w:val="uk-UA" w:eastAsia="ru-RU"/>
              </w:rPr>
              <w:t xml:space="preserve">адемічної </w:t>
            </w:r>
            <w:r>
              <w:rPr>
                <w:rFonts w:ascii="Times New Roman" w:hAnsi="Times New Roman" w:eastAsia="Times New Roman" w:cs="Times New Roman"/>
                <w:sz w:val="28"/>
                <w:szCs w:val="28"/>
                <w:lang w:eastAsia="ru-RU"/>
              </w:rPr>
              <w:t>доброч</w:t>
            </w:r>
            <w:r>
              <w:rPr>
                <w:rFonts w:ascii="Times New Roman" w:hAnsi="Times New Roman" w:eastAsia="Times New Roman" w:cs="Times New Roman"/>
                <w:sz w:val="28"/>
                <w:szCs w:val="28"/>
                <w:lang w:val="uk-UA" w:eastAsia="ru-RU"/>
              </w:rPr>
              <w:t>есності.</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В освітній діяльності педагогічні працівники: організовують свою роботу на засадах академічної доброчесності, спонукають учнів дотримуватися цих норм в освітній діяльності.</w:t>
            </w:r>
          </w:p>
        </w:tc>
      </w:tr>
      <w:tr>
        <w:tblPrEx>
          <w:tblCellMar>
            <w:top w:w="0" w:type="dxa"/>
            <w:left w:w="0" w:type="dxa"/>
            <w:bottom w:w="0" w:type="dxa"/>
            <w:right w:w="0" w:type="dxa"/>
          </w:tblCellMar>
        </w:tblPrEx>
        <w:tc>
          <w:tcPr>
            <w:tcW w:w="11091" w:type="dxa"/>
            <w:gridSpan w:val="5"/>
            <w:tcBorders>
              <w:top w:val="single" w:color="2C4187" w:sz="6" w:space="0"/>
              <w:left w:val="single" w:color="2C4187" w:sz="6" w:space="0"/>
              <w:bottom w:val="single" w:color="2C4187" w:sz="6" w:space="0"/>
              <w:right w:val="single" w:color="2C4187" w:sz="6" w:space="0"/>
            </w:tcBorders>
            <w:shd w:val="clear" w:color="auto" w:fill="8DB3E2" w:themeFill="text2" w:themeFillTint="66"/>
            <w:tcMar>
              <w:top w:w="72" w:type="dxa"/>
              <w:left w:w="72" w:type="dxa"/>
              <w:bottom w:w="72" w:type="dxa"/>
              <w:right w:w="72" w:type="dxa"/>
            </w:tcMar>
            <w:vAlign w:val="center"/>
          </w:tcPr>
          <w:p>
            <w:pPr>
              <w:spacing w:after="0" w:line="240" w:lineRule="auto"/>
              <w:ind w:left="-107" w:firstLine="68"/>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Розділ ІV. Управлінські процеси у закладі</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4.1.</w:t>
            </w:r>
          </w:p>
        </w:tc>
        <w:tc>
          <w:tcPr>
            <w:tcW w:w="2694"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Наявність стратегії розвитку та системи планування діяльності закладу, моніторинг виконання поставлених цілей і завдань</w:t>
            </w:r>
          </w:p>
        </w:tc>
        <w:tc>
          <w:tcPr>
            <w:tcW w:w="309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-наявність і якість локальних документів ( положень, програми розвитку, концепцій тощо), спрямованих на удосконалення діяльності закладу.</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У закладі освіти затверджено стратегію його розвитку, спрямовану на підвищення якості освітньої діяльності</w:t>
            </w:r>
            <w:r>
              <w:rPr>
                <w:rFonts w:ascii="Times New Roman" w:hAnsi="Times New Roman" w:eastAsia="Times New Roman" w:cs="Times New Roman"/>
                <w:sz w:val="28"/>
                <w:szCs w:val="28"/>
                <w:lang w:val="uk-UA" w:eastAsia="ru-RU"/>
              </w:rPr>
              <w:t>. У закладі освіти річне планування та відстеження його результативності здійснюються відповідно до стратегії його розвитку та з урахуванням освітньої програми   У закладі освіти здійснюється самооцінювання якості освітньої діяльності на основі стратегії (політики) і процедур забезпечення якості освіти. Керівництво закладу освіти планує та здійснює заходи щодо утримання у належному стані будівель, приміщень, обладнання</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4.2.</w:t>
            </w:r>
          </w:p>
        </w:tc>
        <w:tc>
          <w:tcPr>
            <w:tcW w:w="2694"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Формування відносин довіри, прозорості, дотримання етичних норм</w:t>
            </w:r>
          </w:p>
        </w:tc>
        <w:tc>
          <w:tcPr>
            <w:tcW w:w="309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р</w:t>
            </w:r>
            <w:r>
              <w:rPr>
                <w:rFonts w:ascii="Times New Roman" w:hAnsi="Times New Roman" w:eastAsia="Times New Roman" w:cs="Times New Roman"/>
                <w:sz w:val="28"/>
                <w:szCs w:val="28"/>
                <w:lang w:eastAsia="ru-RU"/>
              </w:rPr>
              <w:t>івень психологічного комфорту;</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-прозорість діяльності</w:t>
            </w:r>
            <w:r>
              <w:rPr>
                <w:rFonts w:ascii="Times New Roman" w:hAnsi="Times New Roman" w:eastAsia="Times New Roman" w:cs="Times New Roman"/>
                <w:sz w:val="28"/>
                <w:szCs w:val="28"/>
                <w:lang w:val="uk-UA" w:eastAsia="ru-RU"/>
              </w:rPr>
              <w:t>.</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Керівництво закладу освіти сприяє створенню психологічно комфортного середовища, яке забезпечує конструктивну взаємодію здобувачів світи, їх батьків, педагогічних та інших працівників закладу освіти та взаємну довіру  Заклад освіти оприлюднює інформацію про свою діяльність</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4.3.</w:t>
            </w:r>
          </w:p>
        </w:tc>
        <w:tc>
          <w:tcPr>
            <w:tcW w:w="2694"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Ефективність кадрової політики та забезпечення можливостей для професійного розвитку педагогічних працівників</w:t>
            </w:r>
          </w:p>
        </w:tc>
        <w:tc>
          <w:tcPr>
            <w:tcW w:w="309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плинність</w:t>
            </w:r>
            <w:r>
              <w:rPr>
                <w:rFonts w:ascii="Times New Roman" w:hAnsi="Times New Roman" w:eastAsia="Times New Roman" w:cs="Times New Roman"/>
                <w:sz w:val="28"/>
                <w:szCs w:val="28"/>
                <w:lang w:eastAsia="ru-RU"/>
              </w:rPr>
              <w:t xml:space="preserve"> кадрів; </w:t>
            </w:r>
          </w:p>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-система заохочення; організація підвищення кваліфікації учителів.</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Керівник закладу освіти формує штат закладу, залучаючи кваліфікованих педагогічних та інших працівників відповідно до штатного розпису та освітньої програми</w:t>
            </w:r>
            <w:r>
              <w:rPr>
                <w:rFonts w:ascii="Times New Roman" w:hAnsi="Times New Roman" w:eastAsia="Times New Roman" w:cs="Times New Roman"/>
                <w:sz w:val="28"/>
                <w:szCs w:val="28"/>
                <w:lang w:val="uk-UA" w:eastAsia="ru-RU"/>
              </w:rPr>
              <w:t xml:space="preserve">. Керівництво закладу освіти за допомогою системи матеріального та морального заохочення мотивує педагогічних працівників до підвищення якості освітньої діяльності, саморозвитку, здійснення інноваційної освітньої діяльності. </w:t>
            </w:r>
            <w:r>
              <w:rPr>
                <w:rFonts w:ascii="Times New Roman" w:hAnsi="Times New Roman" w:eastAsia="Times New Roman" w:cs="Times New Roman"/>
                <w:sz w:val="28"/>
                <w:szCs w:val="28"/>
                <w:lang w:eastAsia="ru-RU"/>
              </w:rPr>
              <w:t>Керівництво закладу освіти сприяє підвищенню кваліфікації педагогічних працівників</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4.4.</w:t>
            </w:r>
          </w:p>
        </w:tc>
        <w:tc>
          <w:tcPr>
            <w:tcW w:w="2694"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w:t>
            </w:r>
          </w:p>
        </w:tc>
        <w:tc>
          <w:tcPr>
            <w:tcW w:w="309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в</w:t>
            </w:r>
            <w:r>
              <w:rPr>
                <w:rFonts w:ascii="Times New Roman" w:hAnsi="Times New Roman" w:eastAsia="Times New Roman" w:cs="Times New Roman"/>
                <w:sz w:val="28"/>
                <w:szCs w:val="28"/>
                <w:lang w:eastAsia="ru-RU"/>
              </w:rPr>
              <w:t>рахування потенціалу всіх учасників освітнього процесу при прийнятті рішень</w:t>
            </w:r>
            <w:r>
              <w:rPr>
                <w:rFonts w:ascii="Times New Roman" w:hAnsi="Times New Roman" w:eastAsia="Times New Roman" w:cs="Times New Roman"/>
                <w:sz w:val="28"/>
                <w:szCs w:val="28"/>
                <w:lang w:val="uk-UA" w:eastAsia="ru-RU"/>
              </w:rPr>
              <w:t>;</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 xml:space="preserve">-громадське самоврядування; </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-мобільність режиму роботи школи</w:t>
            </w:r>
            <w:r>
              <w:rPr>
                <w:rFonts w:ascii="Times New Roman" w:hAnsi="Times New Roman" w:eastAsia="Times New Roman" w:cs="Times New Roman"/>
                <w:sz w:val="28"/>
                <w:szCs w:val="28"/>
                <w:lang w:val="uk-UA" w:eastAsia="ru-RU"/>
              </w:rPr>
              <w:t>.</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У закладі освіти створюються умови для реалізації прав і обов'язків учасників освітнього процесу</w:t>
            </w: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 xml:space="preserve"> Управлінські рішення приймаються з урахуванням пропозицій учасників освітнього процессу</w:t>
            </w:r>
            <w:r>
              <w:rPr>
                <w:rFonts w:ascii="Times New Roman" w:hAnsi="Times New Roman" w:eastAsia="Times New Roman" w:cs="Times New Roman"/>
                <w:sz w:val="28"/>
                <w:szCs w:val="28"/>
                <w:lang w:val="uk-UA" w:eastAsia="ru-RU"/>
              </w:rPr>
              <w:t>. Керівництво закладу освіти створює умови для розвитку громадського самоврядування. Керівництво закладу освіти сприяє виявленню громадської активності та ініціативи учасників освітнього процесу, їх участі в житті місцевої громади  Режим роботи закладу освіти та розклад занять враховують вікові особливості здобувачів освіти, відповідають їх освітнім потребам.   У закладі освіти створюються умови для реалізації індивідуальних освітніх траєкторій здобувачів освіти</w:t>
            </w:r>
          </w:p>
        </w:tc>
      </w:tr>
      <w:tr>
        <w:tblPrEx>
          <w:tblCellMar>
            <w:top w:w="0" w:type="dxa"/>
            <w:left w:w="0" w:type="dxa"/>
            <w:bottom w:w="0" w:type="dxa"/>
            <w:right w:w="0" w:type="dxa"/>
          </w:tblCellMar>
        </w:tblPrEx>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ind w:left="-107" w:firstLine="68"/>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4.5.</w:t>
            </w:r>
          </w:p>
        </w:tc>
        <w:tc>
          <w:tcPr>
            <w:tcW w:w="2694" w:type="dxa"/>
            <w:gridSpan w:val="2"/>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Формування та забезпечення реалізації політики академічної доброчесності</w:t>
            </w:r>
          </w:p>
        </w:tc>
        <w:tc>
          <w:tcPr>
            <w:tcW w:w="309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eastAsia="ru-RU"/>
              </w:rPr>
              <w:t>-</w:t>
            </w:r>
            <w:r>
              <w:rPr>
                <w:rFonts w:ascii="Times New Roman" w:hAnsi="Times New Roman" w:eastAsia="Times New Roman" w:cs="Times New Roman"/>
                <w:sz w:val="28"/>
                <w:szCs w:val="28"/>
                <w:lang w:val="uk-UA" w:eastAsia="ru-RU"/>
              </w:rPr>
              <w:t>в</w:t>
            </w:r>
            <w:r>
              <w:rPr>
                <w:rFonts w:ascii="Times New Roman" w:hAnsi="Times New Roman" w:eastAsia="Times New Roman" w:cs="Times New Roman"/>
                <w:sz w:val="28"/>
                <w:szCs w:val="28"/>
                <w:lang w:eastAsia="ru-RU"/>
              </w:rPr>
              <w:t>провадження політики академічної</w:t>
            </w:r>
            <w:r>
              <w:rPr>
                <w:rFonts w:ascii="Times New Roman" w:hAnsi="Times New Roman" w:eastAsia="Times New Roman" w:cs="Times New Roman"/>
                <w:sz w:val="28"/>
                <w:szCs w:val="28"/>
                <w:lang w:val="uk-UA" w:eastAsia="ru-RU"/>
              </w:rPr>
              <w:t xml:space="preserve"> </w:t>
            </w:r>
            <w:r>
              <w:rPr>
                <w:rFonts w:ascii="Times New Roman" w:hAnsi="Times New Roman" w:eastAsia="Times New Roman" w:cs="Times New Roman"/>
                <w:sz w:val="28"/>
                <w:szCs w:val="28"/>
                <w:lang w:eastAsia="ru-RU"/>
              </w:rPr>
              <w:t>доброчесності;</w:t>
            </w:r>
          </w:p>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r>
              <w:rPr>
                <w:rFonts w:ascii="Times New Roman" w:hAnsi="Times New Roman" w:eastAsia="Times New Roman" w:cs="Times New Roman"/>
                <w:sz w:val="28"/>
                <w:szCs w:val="28"/>
                <w:lang w:eastAsia="ru-RU"/>
              </w:rPr>
              <w:t>антикорупційні заходи</w:t>
            </w:r>
            <w:r>
              <w:rPr>
                <w:rFonts w:ascii="Times New Roman" w:hAnsi="Times New Roman" w:eastAsia="Times New Roman" w:cs="Times New Roman"/>
                <w:sz w:val="28"/>
                <w:szCs w:val="28"/>
                <w:lang w:val="uk-UA" w:eastAsia="ru-RU"/>
              </w:rPr>
              <w:t>.</w:t>
            </w:r>
          </w:p>
        </w:tc>
        <w:tc>
          <w:tcPr>
            <w:tcW w:w="4732"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Заклад освіти впроваджує політику академічної доброчесності Керівництво закладу освіти сприяє формуванню в учасників освітнього процесу негативного ставлення до корупції</w:t>
            </w:r>
          </w:p>
        </w:tc>
      </w:tr>
    </w:tbl>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993" w:firstLine="993"/>
        <w:jc w:val="center"/>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rPr>
          <w:rFonts w:ascii="Times New Roman" w:hAnsi="Times New Roman" w:eastAsia="Times New Roman" w:cs="Times New Roman"/>
          <w:b/>
          <w:i/>
          <w:color w:val="7F7F7F" w:themeColor="background1" w:themeShade="80"/>
          <w:sz w:val="32"/>
          <w:szCs w:val="32"/>
          <w:lang w:val="uk-UA" w:eastAsia="ru-RU"/>
        </w:rPr>
      </w:pPr>
    </w:p>
    <w:p>
      <w:pPr>
        <w:spacing w:after="0" w:line="432" w:lineRule="atLeast"/>
        <w:ind w:left="-709"/>
        <w:jc w:val="both"/>
        <w:rPr>
          <w:rFonts w:ascii="Times New Roman" w:hAnsi="Times New Roman" w:eastAsia="Times New Roman" w:cs="Times New Roman"/>
          <w:b/>
          <w:i/>
          <w:sz w:val="28"/>
          <w:szCs w:val="28"/>
          <w:lang w:val="uk-UA" w:eastAsia="ru-RU"/>
        </w:rPr>
      </w:pPr>
      <w:r>
        <w:rPr>
          <w:rFonts w:ascii="Times New Roman" w:hAnsi="Times New Roman" w:eastAsia="Times New Roman" w:cs="Times New Roman"/>
          <w:b/>
          <w:i/>
          <w:sz w:val="28"/>
          <w:szCs w:val="28"/>
          <w:lang w:val="uk-UA" w:eastAsia="ru-RU"/>
        </w:rPr>
        <w:t>6.2. Циклограма контрольно - оцінювальної діяльності в системі забезпечення якості освіти</w:t>
      </w:r>
    </w:p>
    <w:tbl>
      <w:tblPr>
        <w:tblStyle w:val="7"/>
        <w:tblW w:w="10773" w:type="dxa"/>
        <w:tblInd w:w="-495" w:type="dxa"/>
        <w:tblLayout w:type="fixed"/>
        <w:tblCellMar>
          <w:top w:w="0" w:type="dxa"/>
          <w:left w:w="0" w:type="dxa"/>
          <w:bottom w:w="0" w:type="dxa"/>
          <w:right w:w="0" w:type="dxa"/>
        </w:tblCellMar>
      </w:tblPr>
      <w:tblGrid>
        <w:gridCol w:w="617"/>
        <w:gridCol w:w="4487"/>
        <w:gridCol w:w="567"/>
        <w:gridCol w:w="567"/>
        <w:gridCol w:w="567"/>
        <w:gridCol w:w="567"/>
        <w:gridCol w:w="567"/>
        <w:gridCol w:w="567"/>
        <w:gridCol w:w="567"/>
        <w:gridCol w:w="708"/>
        <w:gridCol w:w="567"/>
        <w:gridCol w:w="425"/>
      </w:tblGrid>
      <w:tr>
        <w:tblPrEx>
          <w:tblCellMar>
            <w:top w:w="0" w:type="dxa"/>
            <w:left w:w="0" w:type="dxa"/>
            <w:bottom w:w="0" w:type="dxa"/>
            <w:right w:w="0" w:type="dxa"/>
          </w:tblCellMar>
        </w:tblPrEx>
        <w:tc>
          <w:tcPr>
            <w:tcW w:w="617" w:type="dxa"/>
            <w:vMerge w:val="restart"/>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 п/п</w:t>
            </w:r>
          </w:p>
        </w:tc>
        <w:tc>
          <w:tcPr>
            <w:tcW w:w="4487" w:type="dxa"/>
            <w:vMerge w:val="restart"/>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b/>
                <w:sz w:val="28"/>
                <w:szCs w:val="28"/>
                <w:lang w:val="uk-UA" w:eastAsia="ru-RU"/>
              </w:rPr>
            </w:pPr>
            <w:r>
              <w:rPr>
                <w:rFonts w:ascii="Times New Roman" w:hAnsi="Times New Roman" w:eastAsia="Times New Roman" w:cs="Times New Roman"/>
                <w:b/>
                <w:sz w:val="28"/>
                <w:szCs w:val="28"/>
                <w:lang w:val="uk-UA" w:eastAsia="ru-RU"/>
              </w:rPr>
              <w:t>Орієнтовні критерії</w:t>
            </w:r>
          </w:p>
        </w:tc>
        <w:tc>
          <w:tcPr>
            <w:tcW w:w="5669" w:type="dxa"/>
            <w:gridSpan w:val="10"/>
            <w:tcBorders>
              <w:top w:val="single" w:color="2C4187" w:sz="6" w:space="0"/>
              <w:left w:val="single" w:color="2C4187" w:sz="6" w:space="0"/>
              <w:bottom w:val="single" w:color="2C4187" w:sz="6" w:space="0"/>
              <w:right w:val="single" w:color="auto" w:sz="4" w:space="0"/>
            </w:tcBorders>
            <w:tcMar>
              <w:top w:w="72" w:type="dxa"/>
              <w:left w:w="72" w:type="dxa"/>
              <w:bottom w:w="72" w:type="dxa"/>
              <w:right w:w="72" w:type="dxa"/>
            </w:tcMar>
            <w:vAlign w:val="center"/>
          </w:tcPr>
          <w:p>
            <w:pPr>
              <w:jc w:val="center"/>
              <w:rPr>
                <w:b/>
                <w:lang w:val="uk-UA"/>
              </w:rPr>
            </w:pPr>
            <w:r>
              <w:rPr>
                <w:rFonts w:ascii="Times New Roman" w:hAnsi="Times New Roman" w:eastAsia="Times New Roman" w:cs="Times New Roman"/>
                <w:b/>
                <w:sz w:val="28"/>
                <w:szCs w:val="28"/>
                <w:lang w:val="uk-UA" w:eastAsia="ru-RU"/>
              </w:rPr>
              <w:t>Місяці навчального року</w:t>
            </w:r>
          </w:p>
        </w:tc>
      </w:tr>
      <w:tr>
        <w:tblPrEx>
          <w:tblCellMar>
            <w:top w:w="0" w:type="dxa"/>
            <w:left w:w="0" w:type="dxa"/>
            <w:bottom w:w="0" w:type="dxa"/>
            <w:right w:w="0" w:type="dxa"/>
          </w:tblCellMar>
        </w:tblPrEx>
        <w:tc>
          <w:tcPr>
            <w:tcW w:w="617" w:type="dxa"/>
            <w:vMerge w:val="continue"/>
            <w:tcBorders>
              <w:top w:val="single" w:color="2C4187" w:sz="6" w:space="0"/>
              <w:left w:val="single" w:color="2C4187" w:sz="6" w:space="0"/>
              <w:bottom w:val="single" w:color="2C4187" w:sz="6" w:space="0"/>
              <w:right w:val="single" w:color="2C4187" w:sz="6" w:space="0"/>
            </w:tcBorders>
            <w:vAlign w:val="center"/>
          </w:tcPr>
          <w:p>
            <w:pPr>
              <w:spacing w:after="0" w:line="240" w:lineRule="auto"/>
              <w:jc w:val="both"/>
              <w:rPr>
                <w:rFonts w:ascii="Times New Roman" w:hAnsi="Times New Roman" w:eastAsia="Times New Roman" w:cs="Times New Roman"/>
                <w:sz w:val="28"/>
                <w:szCs w:val="28"/>
                <w:lang w:val="uk-UA" w:eastAsia="ru-RU"/>
              </w:rPr>
            </w:pPr>
          </w:p>
        </w:tc>
        <w:tc>
          <w:tcPr>
            <w:tcW w:w="4487" w:type="dxa"/>
            <w:vMerge w:val="continue"/>
            <w:tcBorders>
              <w:top w:val="single" w:color="2C4187" w:sz="6" w:space="0"/>
              <w:left w:val="single" w:color="2C4187" w:sz="6" w:space="0"/>
              <w:bottom w:val="single" w:color="2C4187" w:sz="6" w:space="0"/>
              <w:right w:val="single" w:color="2C4187" w:sz="6" w:space="0"/>
            </w:tcBorders>
            <w:vAlign w:val="center"/>
          </w:tcPr>
          <w:p>
            <w:pPr>
              <w:spacing w:after="0" w:line="240" w:lineRule="auto"/>
              <w:jc w:val="both"/>
              <w:rPr>
                <w:rFonts w:ascii="Times New Roman" w:hAnsi="Times New Roman" w:eastAsia="Times New Roman" w:cs="Times New Roman"/>
                <w:sz w:val="28"/>
                <w:szCs w:val="28"/>
                <w:lang w:val="uk-UA" w:eastAsia="ru-RU"/>
              </w:rPr>
            </w:pP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09</w:t>
            </w: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10</w:t>
            </w: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11</w:t>
            </w: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12</w:t>
            </w: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01</w:t>
            </w: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02</w:t>
            </w: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03</w:t>
            </w:r>
          </w:p>
        </w:tc>
        <w:tc>
          <w:tcPr>
            <w:tcW w:w="708"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04</w:t>
            </w:r>
          </w:p>
        </w:tc>
        <w:tc>
          <w:tcPr>
            <w:tcW w:w="567"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05</w:t>
            </w:r>
          </w:p>
        </w:tc>
        <w:tc>
          <w:tcPr>
            <w:tcW w:w="425" w:type="dxa"/>
            <w:tcBorders>
              <w:top w:val="single" w:color="2C4187" w:sz="6" w:space="0"/>
              <w:left w:val="single" w:color="2C4187" w:sz="6" w:space="0"/>
              <w:bottom w:val="single" w:color="2C4187" w:sz="6" w:space="0"/>
              <w:right w:val="single" w:color="2C4187" w:sz="6" w:space="0"/>
            </w:tcBorders>
            <w:shd w:val="clear" w:color="auto" w:fill="DDD9C4" w:themeFill="background2" w:themeFillShade="E6"/>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06</w:t>
            </w:r>
          </w:p>
        </w:tc>
      </w:tr>
      <w:tr>
        <w:tblPrEx>
          <w:tblCellMar>
            <w:top w:w="0" w:type="dxa"/>
            <w:left w:w="0" w:type="dxa"/>
            <w:bottom w:w="0" w:type="dxa"/>
            <w:right w:w="0" w:type="dxa"/>
          </w:tblCellMar>
        </w:tblPrEx>
        <w:tc>
          <w:tcPr>
            <w:tcW w:w="10773" w:type="dxa"/>
            <w:gridSpan w:val="12"/>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val="uk-UA" w:eastAsia="ru-RU"/>
              </w:rPr>
              <w:t>Р</w:t>
            </w:r>
            <w:r>
              <w:rPr>
                <w:rFonts w:ascii="Times New Roman" w:hAnsi="Times New Roman" w:eastAsia="Times New Roman" w:cs="Times New Roman"/>
                <w:i/>
                <w:sz w:val="28"/>
                <w:szCs w:val="28"/>
                <w:lang w:eastAsia="ru-RU"/>
              </w:rPr>
              <w:t>озділ І. Освітнє середовище закладу</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1.1.</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Забезпечення безпечних та комфортних умов для навчання та праці (аналіз приміщень, обізнаність з вимогами ОП та БЖ, умови для харчування, підключення Інтернету, умови для адаптації)</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1.2.</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Створення освітнього середовища, вільного від будь-яких форм насильства та дискримінації (наявність та рівень виконання правил учасниками освітнього процесу; антибулінгові заходи)</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1.3.</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Формування інклюзивного, розвивального та мотивуючого до навчання освітнього простору (універсальність дизайну; умови для навчання дітей з ОП; організація інклюзивного навчання)</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r>
      <w:tr>
        <w:tblPrEx>
          <w:tblCellMar>
            <w:top w:w="0" w:type="dxa"/>
            <w:left w:w="0" w:type="dxa"/>
            <w:bottom w:w="0" w:type="dxa"/>
            <w:right w:w="0" w:type="dxa"/>
          </w:tblCellMar>
        </w:tblPrEx>
        <w:tc>
          <w:tcPr>
            <w:tcW w:w="10773" w:type="dxa"/>
            <w:gridSpan w:val="12"/>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Розділ ІІ. Система оцінювання здобувачів освіти</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2.1.</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Наявність відкритої, прозорої і зрозумілої для здобувачів освіти системи оцінювання їх навчальних досягнень (обізнаність учнів з критеріями оцінювання; підходи до оцінювання; рівень справедливості оцінювання)</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2.2.</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Застосування внутрішнього моніторингу, що передбачає систематичне відстеження та коригування результатів навчання кожного здобувача освіти (моніторинги)</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2.3.</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Спрямованість системи оцінювання на формування у здобувачів освіти відповідальності за результати свого навчання, здатності до само оцінювання (підходи до формування в учнів відповідальності за результати освітньої діяльності)</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r>
        <w:tblPrEx>
          <w:tblCellMar>
            <w:top w:w="0" w:type="dxa"/>
            <w:left w:w="0" w:type="dxa"/>
            <w:bottom w:w="0" w:type="dxa"/>
            <w:right w:w="0" w:type="dxa"/>
          </w:tblCellMar>
        </w:tblPrEx>
        <w:tc>
          <w:tcPr>
            <w:tcW w:w="10773" w:type="dxa"/>
            <w:gridSpan w:val="12"/>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b/>
                <w:sz w:val="28"/>
                <w:szCs w:val="28"/>
                <w:lang w:eastAsia="ru-RU"/>
              </w:rPr>
            </w:pPr>
            <w:r>
              <w:rPr>
                <w:rFonts w:ascii="Times New Roman" w:hAnsi="Times New Roman" w:eastAsia="Times New Roman" w:cs="Times New Roman"/>
                <w:b/>
                <w:sz w:val="28"/>
                <w:szCs w:val="28"/>
                <w:lang w:eastAsia="ru-RU"/>
              </w:rPr>
              <w:t>Розділ ІІІ. Педагогічна діяльність педагогічних працівників закладу</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3.1.</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Ефективність планування педагогічними працівниками своєї діяльності, використання сучасних освітніх підходів до організації освітнього процесу з метою формування ключових компетентностей здобувачів освіти (наявність, формат планування, самоаналіз; врахування потенціалу класу, цілісність планування, створення веб-ресурсів, використання ІКТ)</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3.2.</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Постійне підвищення професійного рівня і педагогічної майстерності педагогічних працівників (самоосвіта, інноваційна діяльність педагогів)</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3.3.</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Налагодження співпраці зі здобувачами освіти, їх батьками, працівниками закладу освіти (рівень партнерства «учитель –учень – батьки); зворотній зв'язок учителя з учнями і батьками; наставництво)</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3.4.</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Організація педагогічної діяльності та навчання здобувачів освіти на засадах академічної доброчесності (дотримання академічної доброчесності, стимулювання учнів до дотримання ак.доброч.)</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r>
      <w:tr>
        <w:tblPrEx>
          <w:tblCellMar>
            <w:top w:w="0" w:type="dxa"/>
            <w:left w:w="0" w:type="dxa"/>
            <w:bottom w:w="0" w:type="dxa"/>
            <w:right w:w="0" w:type="dxa"/>
          </w:tblCellMar>
        </w:tblPrEx>
        <w:tc>
          <w:tcPr>
            <w:tcW w:w="10773" w:type="dxa"/>
            <w:gridSpan w:val="12"/>
            <w:tcBorders>
              <w:top w:val="single" w:color="2C4187" w:sz="6" w:space="0"/>
              <w:left w:val="single" w:color="2C4187" w:sz="6" w:space="0"/>
              <w:bottom w:val="single" w:color="2C4187" w:sz="6" w:space="0"/>
              <w:right w:val="single" w:color="2C4187" w:sz="6" w:space="0"/>
            </w:tcBorders>
            <w:shd w:val="clear" w:color="auto" w:fill="FFFF00"/>
            <w:tcMar>
              <w:top w:w="72" w:type="dxa"/>
              <w:left w:w="72" w:type="dxa"/>
              <w:bottom w:w="72" w:type="dxa"/>
              <w:right w:w="72" w:type="dxa"/>
            </w:tcMar>
            <w:vAlign w:val="center"/>
          </w:tcPr>
          <w:p>
            <w:pPr>
              <w:spacing w:after="0" w:line="240" w:lineRule="auto"/>
              <w:jc w:val="center"/>
              <w:rPr>
                <w:rFonts w:ascii="Times New Roman" w:hAnsi="Times New Roman" w:eastAsia="Times New Roman" w:cs="Times New Roman"/>
                <w:i/>
                <w:sz w:val="28"/>
                <w:szCs w:val="28"/>
                <w:lang w:eastAsia="ru-RU"/>
              </w:rPr>
            </w:pPr>
            <w:r>
              <w:rPr>
                <w:rFonts w:ascii="Times New Roman" w:hAnsi="Times New Roman" w:eastAsia="Times New Roman" w:cs="Times New Roman"/>
                <w:i/>
                <w:sz w:val="28"/>
                <w:szCs w:val="28"/>
                <w:lang w:eastAsia="ru-RU"/>
              </w:rPr>
              <w:t>Розділ ІV. Управлінські процеси у закладі</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4.1.</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Наявність стратегії розвитку та системи планування діяльності закладу, моніторинг виконання поставлених цілей і завдань (наявність і якість локальних документів (положень, програми розвитку, концепцій тощо), спрямованих на удосконалення діяльності закладу).</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4.2.</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Формування відносин довіри, прозорості, дотримання етичних норм (рівень психологічного комфорту; прозорість діяльності)</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4.3.</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Ефективність кадрової політики та забезпечення можливостей для професійного розвитку педагогічних працівників (</w:t>
            </w:r>
            <w:r>
              <w:rPr>
                <w:rFonts w:ascii="Times New Roman" w:hAnsi="Times New Roman" w:eastAsia="Times New Roman" w:cs="Times New Roman"/>
                <w:sz w:val="28"/>
                <w:szCs w:val="28"/>
                <w:lang w:val="uk-UA" w:eastAsia="ru-RU"/>
              </w:rPr>
              <w:t>плинність</w:t>
            </w:r>
            <w:r>
              <w:rPr>
                <w:rFonts w:ascii="Times New Roman" w:hAnsi="Times New Roman" w:eastAsia="Times New Roman" w:cs="Times New Roman"/>
                <w:sz w:val="28"/>
                <w:szCs w:val="28"/>
                <w:lang w:eastAsia="ru-RU"/>
              </w:rPr>
              <w:t xml:space="preserve"> кадрів; система заохочення; організація підвищення кваліфікації учителів)</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cs="Times New Roman"/>
                <w:sz w:val="28"/>
                <w:szCs w:val="28"/>
                <w:lang w:val="uk-UA"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4.4.</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Організація освітнього процесу на засадах людиноцентризму, прийняття управлінських рішень на основі конструктивної співпраці учасників освітнього процесу, взаємодії закладу освіти з місцевою громадою (врахування потенціалу всіх учасників освітнього процесу при прийнятті рішень; громадське самоврядування; мобільність режиму роботи школи)</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r>
        <w:tblPrEx>
          <w:tblCellMar>
            <w:top w:w="0" w:type="dxa"/>
            <w:left w:w="0" w:type="dxa"/>
            <w:bottom w:w="0" w:type="dxa"/>
            <w:right w:w="0" w:type="dxa"/>
          </w:tblCellMar>
        </w:tblPrEx>
        <w:tc>
          <w:tcPr>
            <w:tcW w:w="61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4.5.</w:t>
            </w:r>
          </w:p>
        </w:tc>
        <w:tc>
          <w:tcPr>
            <w:tcW w:w="448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Формування та забезпечення реалізації політики академічної доброчесності (впровадження політики академічної доброчесності, антикорупційні заходи)</w:t>
            </w: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708"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567"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p>
        </w:tc>
        <w:tc>
          <w:tcPr>
            <w:tcW w:w="425" w:type="dxa"/>
            <w:tcBorders>
              <w:top w:val="single" w:color="2C4187" w:sz="6" w:space="0"/>
              <w:left w:val="single" w:color="2C4187" w:sz="6" w:space="0"/>
              <w:bottom w:val="single" w:color="2C4187" w:sz="6" w:space="0"/>
              <w:right w:val="single" w:color="2C4187" w:sz="6" w:space="0"/>
            </w:tcBorders>
            <w:tcMar>
              <w:top w:w="72" w:type="dxa"/>
              <w:left w:w="72" w:type="dxa"/>
              <w:bottom w:w="72" w:type="dxa"/>
              <w:right w:w="72" w:type="dxa"/>
            </w:tcMar>
            <w:vAlign w:val="center"/>
          </w:tcPr>
          <w:p>
            <w:pPr>
              <w:spacing w:after="0" w:line="240" w:lineRule="auto"/>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w:t>
            </w:r>
          </w:p>
        </w:tc>
      </w:tr>
    </w:tbl>
    <w:p>
      <w:pPr>
        <w:tabs>
          <w:tab w:val="left" w:pos="512"/>
        </w:tabs>
        <w:spacing w:line="240" w:lineRule="auto"/>
        <w:ind w:right="60"/>
        <w:jc w:val="both"/>
        <w:rPr>
          <w:rFonts w:ascii="Times New Roman" w:hAnsi="Times New Roman" w:eastAsia="Times New Roman" w:cs="Times New Roman"/>
          <w:b/>
          <w:sz w:val="28"/>
          <w:szCs w:val="28"/>
          <w:lang w:eastAsia="ru-RU"/>
        </w:rPr>
      </w:pPr>
    </w:p>
    <w:p>
      <w:pPr>
        <w:tabs>
          <w:tab w:val="left" w:pos="512"/>
        </w:tabs>
        <w:spacing w:line="240" w:lineRule="auto"/>
        <w:ind w:right="60"/>
        <w:jc w:val="both"/>
        <w:rPr>
          <w:rFonts w:ascii="Times New Roman" w:hAnsi="Times New Roman" w:eastAsia="Times New Roman"/>
          <w:b/>
          <w:sz w:val="28"/>
          <w:szCs w:val="28"/>
          <w:lang w:val="uk-UA"/>
        </w:rPr>
      </w:pPr>
      <w:r>
        <w:rPr>
          <w:rFonts w:ascii="Times New Roman" w:hAnsi="Times New Roman" w:eastAsia="Times New Roman" w:cs="Times New Roman"/>
          <w:b/>
          <w:sz w:val="28"/>
          <w:szCs w:val="28"/>
          <w:lang w:eastAsia="ru-RU"/>
        </w:rPr>
        <w:t>Блок V</w:t>
      </w:r>
      <w:r>
        <w:rPr>
          <w:rFonts w:ascii="Times New Roman" w:hAnsi="Times New Roman" w:eastAsia="Times New Roman" w:cs="Times New Roman"/>
          <w:b/>
          <w:sz w:val="28"/>
          <w:szCs w:val="28"/>
          <w:lang w:val="uk-UA" w:eastAsia="ru-RU"/>
        </w:rPr>
        <w:t>І</w:t>
      </w:r>
      <w:r>
        <w:rPr>
          <w:rFonts w:ascii="Times New Roman" w:hAnsi="Times New Roman" w:eastAsia="Times New Roman" w:cs="Times New Roman"/>
          <w:b/>
          <w:sz w:val="28"/>
          <w:szCs w:val="28"/>
          <w:lang w:eastAsia="ru-RU"/>
        </w:rPr>
        <w:t>І</w:t>
      </w:r>
      <w:r>
        <w:rPr>
          <w:rFonts w:ascii="Times New Roman" w:hAnsi="Times New Roman" w:eastAsia="Times New Roman" w:cs="Times New Roman"/>
          <w:b/>
          <w:sz w:val="28"/>
          <w:szCs w:val="28"/>
          <w:lang w:val="uk-UA" w:eastAsia="ru-RU"/>
        </w:rPr>
        <w:t>.</w:t>
      </w:r>
      <w:r>
        <w:rPr>
          <w:rFonts w:ascii="Times New Roman" w:hAnsi="Times New Roman" w:eastAsia="Times New Roman"/>
          <w:b/>
          <w:sz w:val="28"/>
          <w:szCs w:val="28"/>
          <w:lang w:val="uk-UA"/>
        </w:rPr>
        <w:t xml:space="preserve">  Інклюзивне освітнє середовище, універсальний дизайн та розумне пристосування </w:t>
      </w:r>
    </w:p>
    <w:p>
      <w:pPr>
        <w:tabs>
          <w:tab w:val="left" w:pos="512"/>
        </w:tabs>
        <w:spacing w:line="240" w:lineRule="auto"/>
        <w:ind w:left="262" w:right="60" w:firstLine="720"/>
        <w:jc w:val="both"/>
        <w:rPr>
          <w:rFonts w:ascii="Times New Roman" w:hAnsi="Times New Roman" w:eastAsia="Times New Roman"/>
          <w:b/>
          <w:sz w:val="28"/>
          <w:szCs w:val="28"/>
          <w:lang w:val="uk-UA"/>
        </w:rPr>
      </w:pPr>
      <w:r>
        <w:rPr>
          <w:rFonts w:ascii="Times New Roman" w:hAnsi="Times New Roman" w:eastAsia="Times New Roman"/>
          <w:sz w:val="28"/>
          <w:szCs w:val="28"/>
          <w:lang w:val="uk-UA"/>
        </w:rPr>
        <w:t>Заклад освіти може забезпечувати за потреби здобувача освіти з особливими освітніми потребами</w:t>
      </w:r>
    </w:p>
    <w:p>
      <w:pPr>
        <w:numPr>
          <w:ilvl w:val="0"/>
          <w:numId w:val="37"/>
        </w:numPr>
        <w:spacing w:line="24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інклюзивним освітнім середовищем :</w:t>
      </w:r>
    </w:p>
    <w:p>
      <w:pPr>
        <w:numPr>
          <w:ilvl w:val="0"/>
          <w:numId w:val="37"/>
        </w:numPr>
        <w:tabs>
          <w:tab w:val="left" w:pos="517"/>
        </w:tabs>
        <w:spacing w:line="24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необхідними ресурсами освітнього процесу, що мають відповідати ліцензійним та акредитаційним вимогам;</w:t>
      </w:r>
    </w:p>
    <w:p>
      <w:pPr>
        <w:numPr>
          <w:ilvl w:val="0"/>
          <w:numId w:val="37"/>
        </w:numPr>
        <w:tabs>
          <w:tab w:val="left" w:pos="517"/>
        </w:tabs>
        <w:spacing w:line="240" w:lineRule="auto"/>
        <w:jc w:val="both"/>
        <w:rPr>
          <w:rFonts w:ascii="Times New Roman" w:hAnsi="Times New Roman" w:eastAsia="Times New Roman"/>
          <w:sz w:val="28"/>
          <w:szCs w:val="28"/>
        </w:rPr>
      </w:pPr>
      <w:r>
        <w:rPr>
          <w:rFonts w:ascii="Times New Roman" w:hAnsi="Times New Roman" w:eastAsia="Times New Roman"/>
          <w:sz w:val="28"/>
          <w:szCs w:val="28"/>
        </w:rPr>
        <w:t xml:space="preserve">умовами доступності закладу освіти для навчання осіб з особливими освітніми потребами. </w:t>
      </w:r>
    </w:p>
    <w:p>
      <w:pPr>
        <w:tabs>
          <w:tab w:val="left" w:pos="517"/>
        </w:tabs>
        <w:spacing w:line="240" w:lineRule="auto"/>
        <w:ind w:left="262" w:firstLine="720"/>
        <w:jc w:val="both"/>
        <w:rPr>
          <w:rFonts w:ascii="Times New Roman" w:hAnsi="Times New Roman" w:eastAsia="Times New Roman"/>
          <w:sz w:val="28"/>
          <w:szCs w:val="28"/>
        </w:rPr>
      </w:pPr>
      <w:r>
        <w:rPr>
          <w:rFonts w:ascii="Times New Roman" w:hAnsi="Times New Roman" w:eastAsia="Times New Roman"/>
          <w:sz w:val="28"/>
          <w:szCs w:val="28"/>
          <w:lang w:val="uk-UA"/>
        </w:rPr>
        <w:t xml:space="preserve">   </w:t>
      </w:r>
      <w:r>
        <w:rPr>
          <w:rFonts w:ascii="Times New Roman" w:hAnsi="Times New Roman" w:eastAsia="Times New Roman"/>
          <w:sz w:val="28"/>
          <w:szCs w:val="28"/>
        </w:rPr>
        <w:t>Право на доступну освіту зазначеної категорії дітей реалізується за бажанням батьків шляхом організації індивідуальної форми навчання</w:t>
      </w:r>
      <w:r>
        <w:rPr>
          <w:rFonts w:ascii="Times New Roman" w:hAnsi="Times New Roman" w:eastAsia="Times New Roman"/>
          <w:sz w:val="28"/>
          <w:szCs w:val="28"/>
          <w:lang w:val="uk-UA"/>
        </w:rPr>
        <w:t xml:space="preserve">. Затверджено </w:t>
      </w:r>
      <w:r>
        <w:rPr>
          <w:rFonts w:ascii="Times New Roman" w:hAnsi="Times New Roman" w:eastAsia="Times New Roman"/>
          <w:b/>
          <w:sz w:val="28"/>
          <w:szCs w:val="28"/>
          <w:lang w:val="uk-UA"/>
        </w:rPr>
        <w:t>Положення про індивідуальну форму навчання</w:t>
      </w:r>
      <w:r>
        <w:rPr>
          <w:rFonts w:ascii="Times New Roman" w:hAnsi="Times New Roman" w:eastAsia="Times New Roman"/>
          <w:sz w:val="28"/>
          <w:szCs w:val="28"/>
          <w:lang w:val="uk-UA"/>
        </w:rPr>
        <w:t xml:space="preserve"> (засідання педагогічної ради Протокол №_____ від ___.___.20____)</w:t>
      </w:r>
    </w:p>
    <w:p>
      <w:pPr>
        <w:spacing w:line="240" w:lineRule="auto"/>
        <w:ind w:left="260" w:firstLine="720"/>
        <w:jc w:val="both"/>
        <w:rPr>
          <w:rFonts w:ascii="Times New Roman" w:hAnsi="Times New Roman" w:eastAsia="Times New Roman"/>
          <w:sz w:val="28"/>
          <w:szCs w:val="28"/>
          <w:lang w:val="uk-UA"/>
        </w:rPr>
      </w:pPr>
      <w:r>
        <w:rPr>
          <w:rFonts w:ascii="Times New Roman" w:hAnsi="Times New Roman" w:eastAsia="Times New Roman"/>
          <w:sz w:val="28"/>
          <w:szCs w:val="28"/>
          <w:lang w:val="uk-UA"/>
        </w:rPr>
        <w:t>Заклад освіти за потреби утворює інклюзивні та/або спеціальні групи і класи для навчання осіб з особливими освітніми потребами відповідно до індивідуальної програми розвитку та з урахуванням їхніх індивідуальних потреб і можливостей ( стаття 20 Закону України «Про освіту»)</w:t>
      </w:r>
    </w:p>
    <w:p>
      <w:pPr>
        <w:spacing w:line="240" w:lineRule="auto"/>
        <w:ind w:left="260" w:firstLine="720"/>
        <w:jc w:val="both"/>
        <w:rPr>
          <w:rFonts w:ascii="Times New Roman" w:hAnsi="Times New Roman" w:eastAsia="Times New Roman"/>
          <w:sz w:val="28"/>
          <w:szCs w:val="28"/>
          <w:lang w:val="uk-UA"/>
        </w:rPr>
      </w:pPr>
      <w:r>
        <w:rPr>
          <w:rFonts w:ascii="Times New Roman" w:hAnsi="Times New Roman" w:eastAsia="Times New Roman"/>
          <w:sz w:val="28"/>
          <w:szCs w:val="28"/>
        </w:rPr>
        <w:t>Практичне впровадження інклюзивного середовища базується на принципах універсального дизайну та розумного пристосування.</w:t>
      </w:r>
    </w:p>
    <w:p>
      <w:pPr>
        <w:spacing w:line="240" w:lineRule="auto"/>
        <w:ind w:firstLine="720"/>
        <w:jc w:val="both"/>
        <w:rPr>
          <w:rFonts w:ascii="Times New Roman" w:hAnsi="Times New Roman" w:eastAsia="Times New Roman"/>
          <w:b/>
          <w:sz w:val="28"/>
          <w:szCs w:val="28"/>
          <w:lang w:val="uk-UA"/>
        </w:rPr>
      </w:pPr>
      <w:r>
        <w:rPr>
          <w:rFonts w:ascii="Times New Roman" w:hAnsi="Times New Roman" w:eastAsia="Times New Roman"/>
          <w:b/>
          <w:sz w:val="28"/>
          <w:szCs w:val="28"/>
        </w:rPr>
        <w:t>Принципи універсального дизайну та розумного пристосування:</w:t>
      </w:r>
    </w:p>
    <w:p>
      <w:pPr>
        <w:spacing w:line="240" w:lineRule="auto"/>
        <w:ind w:firstLine="720"/>
        <w:jc w:val="both"/>
        <w:rPr>
          <w:rFonts w:ascii="Times New Roman" w:hAnsi="Times New Roman" w:eastAsia="Times New Roman"/>
          <w:sz w:val="28"/>
          <w:szCs w:val="28"/>
        </w:rPr>
      </w:pPr>
      <w:r>
        <w:rPr>
          <w:rFonts w:ascii="Times New Roman" w:hAnsi="Times New Roman" w:eastAsia="Times New Roman"/>
          <w:b/>
          <w:sz w:val="28"/>
          <w:szCs w:val="28"/>
        </w:rPr>
        <w:t xml:space="preserve">Принцип </w:t>
      </w:r>
      <w:r>
        <w:rPr>
          <w:rFonts w:ascii="Times New Roman" w:hAnsi="Times New Roman" w:eastAsia="Times New Roman"/>
          <w:sz w:val="28"/>
          <w:szCs w:val="28"/>
        </w:rPr>
        <w:t>«Рівність та доступність використання»</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Принцип </w:t>
      </w:r>
      <w:r>
        <w:rPr>
          <w:rFonts w:ascii="Times New Roman" w:hAnsi="Times New Roman" w:eastAsia="Times New Roman"/>
          <w:sz w:val="28"/>
          <w:szCs w:val="28"/>
          <w:lang w:val="uk-UA"/>
        </w:rPr>
        <w:t>«Гнучкість використання»</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Гнучкість користування: </w:t>
      </w:r>
      <w:r>
        <w:rPr>
          <w:rFonts w:ascii="Times New Roman" w:hAnsi="Times New Roman" w:eastAsia="Times New Roman"/>
          <w:sz w:val="28"/>
          <w:szCs w:val="28"/>
          <w:lang w:val="uk-UA"/>
        </w:rPr>
        <w:t>шкільний освітній процес відповідає широкому спектру</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індивідуальних можливостей здобувачів освіти; забезпечує гнучку методику навчання, викладання та подання матеріалу; доступні та гнучкі навчальні плани й програми.</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rPr>
        <w:t xml:space="preserve">Принцип </w:t>
      </w:r>
      <w:r>
        <w:rPr>
          <w:rFonts w:ascii="Times New Roman" w:hAnsi="Times New Roman" w:eastAsia="Times New Roman"/>
          <w:sz w:val="28"/>
          <w:szCs w:val="28"/>
        </w:rPr>
        <w:t>«Простота та інтуїтивність використання»</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Просте та зручне використання: </w:t>
      </w:r>
      <w:r>
        <w:rPr>
          <w:rFonts w:ascii="Times New Roman" w:hAnsi="Times New Roman" w:eastAsia="Times New Roman"/>
          <w:sz w:val="28"/>
          <w:szCs w:val="28"/>
          <w:lang w:val="uk-UA"/>
        </w:rPr>
        <w:t>навчальні матеріали прості та чіткі у використанні</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незалежно від навичок та досвіду здобувачів освіти; лабораторне обладнання та обладнання в майстернях із чіткими та інтуїтивно зрозумілими елементами управління.</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Принцип </w:t>
      </w:r>
      <w:r>
        <w:rPr>
          <w:rFonts w:ascii="Times New Roman" w:hAnsi="Times New Roman" w:eastAsia="Times New Roman"/>
          <w:sz w:val="28"/>
          <w:szCs w:val="28"/>
          <w:lang w:val="uk-UA"/>
        </w:rPr>
        <w:t>«Доступно викладена інформація»</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Сприйняття інформації, попри сенсорні можливості користувачів: </w:t>
      </w:r>
      <w:r>
        <w:rPr>
          <w:rFonts w:ascii="Times New Roman" w:hAnsi="Times New Roman" w:eastAsia="Times New Roman"/>
          <w:sz w:val="28"/>
          <w:szCs w:val="28"/>
          <w:lang w:val="uk-UA"/>
        </w:rPr>
        <w:t>урахування різного</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впливу шкільного середовища на «сенсорний досвід» дитини; використання кольору, світла, звуків, текстури; легкий доступ до інформаційно-комунікативних технологій.</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rPr>
        <w:t xml:space="preserve">Принцип </w:t>
      </w:r>
      <w:r>
        <w:rPr>
          <w:rFonts w:ascii="Times New Roman" w:hAnsi="Times New Roman" w:eastAsia="Times New Roman"/>
          <w:sz w:val="28"/>
          <w:szCs w:val="28"/>
        </w:rPr>
        <w:t>«Терпимість до помилок».</w:t>
      </w:r>
    </w:p>
    <w:p>
      <w:pPr>
        <w:spacing w:line="240" w:lineRule="auto"/>
        <w:ind w:firstLine="720"/>
        <w:jc w:val="both"/>
        <w:rPr>
          <w:rFonts w:ascii="Times New Roman" w:hAnsi="Times New Roman" w:eastAsia="Times New Roman"/>
          <w:sz w:val="28"/>
          <w:szCs w:val="28"/>
        </w:rPr>
      </w:pPr>
      <w:r>
        <w:rPr>
          <w:rFonts w:ascii="Times New Roman" w:hAnsi="Times New Roman" w:eastAsia="Times New Roman"/>
          <w:b/>
          <w:sz w:val="28"/>
          <w:szCs w:val="28"/>
        </w:rPr>
        <w:t xml:space="preserve">Припустимість помилок: </w:t>
      </w:r>
      <w:r>
        <w:rPr>
          <w:rFonts w:ascii="Times New Roman" w:hAnsi="Times New Roman" w:eastAsia="Times New Roman"/>
          <w:sz w:val="28"/>
          <w:szCs w:val="28"/>
        </w:rPr>
        <w:t>здобувачі освіти повинні мати вдосталь часу,</w:t>
      </w:r>
      <w:r>
        <w:rPr>
          <w:rFonts w:ascii="Times New Roman" w:hAnsi="Times New Roman" w:eastAsia="Times New Roman"/>
          <w:b/>
          <w:sz w:val="28"/>
          <w:szCs w:val="28"/>
        </w:rPr>
        <w:t xml:space="preserve"> </w:t>
      </w:r>
      <w:r>
        <w:rPr>
          <w:rFonts w:ascii="Times New Roman" w:hAnsi="Times New Roman" w:eastAsia="Times New Roman"/>
          <w:sz w:val="28"/>
          <w:szCs w:val="28"/>
        </w:rPr>
        <w:t>щоб надати</w:t>
      </w:r>
      <w:r>
        <w:rPr>
          <w:rFonts w:ascii="Times New Roman" w:hAnsi="Times New Roman" w:eastAsia="Times New Roman"/>
          <w:b/>
          <w:sz w:val="28"/>
          <w:szCs w:val="28"/>
        </w:rPr>
        <w:t xml:space="preserve"> </w:t>
      </w:r>
      <w:r>
        <w:rPr>
          <w:rFonts w:ascii="Times New Roman" w:hAnsi="Times New Roman" w:eastAsia="Times New Roman"/>
          <w:sz w:val="28"/>
          <w:szCs w:val="28"/>
        </w:rPr>
        <w:t>відповідь на питання; використання навчального програмного забезпечення, яке має вказівки/застереження, коли здобувач освіти робить неправильний вибір.</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rPr>
        <w:t xml:space="preserve">Принцип </w:t>
      </w:r>
      <w:r>
        <w:rPr>
          <w:rFonts w:ascii="Times New Roman" w:hAnsi="Times New Roman" w:eastAsia="Times New Roman"/>
          <w:sz w:val="28"/>
          <w:szCs w:val="28"/>
        </w:rPr>
        <w:t>«Малі фізичні зусилля»</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lang w:val="uk-UA"/>
        </w:rPr>
        <w:t xml:space="preserve">Низький рівень фізичних зусиль: </w:t>
      </w:r>
      <w:r>
        <w:rPr>
          <w:rFonts w:ascii="Times New Roman" w:hAnsi="Times New Roman" w:eastAsia="Times New Roman"/>
          <w:sz w:val="28"/>
          <w:szCs w:val="28"/>
          <w:lang w:val="uk-UA"/>
        </w:rPr>
        <w:t>двері,</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які легко відкривати здобувачам освіти з</w:t>
      </w:r>
      <w:r>
        <w:rPr>
          <w:rFonts w:ascii="Times New Roman" w:hAnsi="Times New Roman" w:eastAsia="Times New Roman"/>
          <w:b/>
          <w:sz w:val="28"/>
          <w:szCs w:val="28"/>
          <w:lang w:val="uk-UA"/>
        </w:rPr>
        <w:t xml:space="preserve"> </w:t>
      </w:r>
      <w:r>
        <w:rPr>
          <w:rFonts w:ascii="Times New Roman" w:hAnsi="Times New Roman" w:eastAsia="Times New Roman"/>
          <w:sz w:val="28"/>
          <w:szCs w:val="28"/>
          <w:lang w:val="uk-UA"/>
        </w:rPr>
        <w:t>різними функціональними порушеннями; застосування ергономічних вимог/деталей (наприклад, дверні ручки, меблі).</w:t>
      </w:r>
    </w:p>
    <w:p>
      <w:pPr>
        <w:spacing w:line="240" w:lineRule="auto"/>
        <w:ind w:firstLine="720"/>
        <w:jc w:val="both"/>
        <w:rPr>
          <w:rFonts w:ascii="Times New Roman" w:hAnsi="Times New Roman" w:eastAsia="Times New Roman"/>
          <w:sz w:val="28"/>
          <w:szCs w:val="28"/>
          <w:lang w:val="uk-UA"/>
        </w:rPr>
      </w:pPr>
      <w:r>
        <w:rPr>
          <w:rFonts w:ascii="Times New Roman" w:hAnsi="Times New Roman" w:eastAsia="Times New Roman"/>
          <w:b/>
          <w:sz w:val="28"/>
          <w:szCs w:val="28"/>
        </w:rPr>
        <w:t xml:space="preserve">Принцип </w:t>
      </w:r>
      <w:r>
        <w:rPr>
          <w:rFonts w:ascii="Times New Roman" w:hAnsi="Times New Roman" w:eastAsia="Times New Roman"/>
          <w:sz w:val="28"/>
          <w:szCs w:val="28"/>
        </w:rPr>
        <w:t>«Наявність необхідного розміру,</w:t>
      </w:r>
      <w:r>
        <w:rPr>
          <w:rFonts w:ascii="Times New Roman" w:hAnsi="Times New Roman" w:eastAsia="Times New Roman"/>
          <w:b/>
          <w:sz w:val="28"/>
          <w:szCs w:val="28"/>
        </w:rPr>
        <w:t xml:space="preserve"> </w:t>
      </w:r>
      <w:r>
        <w:rPr>
          <w:rFonts w:ascii="Times New Roman" w:hAnsi="Times New Roman" w:eastAsia="Times New Roman"/>
          <w:sz w:val="28"/>
          <w:szCs w:val="28"/>
        </w:rPr>
        <w:t>місця простору».</w:t>
      </w:r>
      <w:r>
        <w:rPr>
          <w:rFonts w:ascii="Times New Roman" w:hAnsi="Times New Roman" w:eastAsia="Times New Roman"/>
          <w:b/>
          <w:sz w:val="28"/>
          <w:szCs w:val="28"/>
        </w:rPr>
        <w:t xml:space="preserve"> </w:t>
      </w:r>
      <w:r>
        <w:rPr>
          <w:rFonts w:ascii="Times New Roman" w:hAnsi="Times New Roman" w:eastAsia="Times New Roman"/>
          <w:sz w:val="28"/>
          <w:szCs w:val="28"/>
        </w:rPr>
        <w:t>Дизайн має</w:t>
      </w:r>
      <w:r>
        <w:rPr>
          <w:rFonts w:ascii="Times New Roman" w:hAnsi="Times New Roman" w:eastAsia="Times New Roman"/>
          <w:b/>
          <w:sz w:val="28"/>
          <w:szCs w:val="28"/>
        </w:rPr>
        <w:t xml:space="preserve"> </w:t>
      </w:r>
      <w:r>
        <w:rPr>
          <w:rFonts w:ascii="Times New Roman" w:hAnsi="Times New Roman" w:eastAsia="Times New Roman"/>
          <w:sz w:val="28"/>
          <w:szCs w:val="28"/>
        </w:rPr>
        <w:t>враховувати наявність необхідного розміру і простору при підході, під’їзді та різноманітних маніпуляціях, з огляду на антропометричні характеристики, стан та мобільність користувача.</w:t>
      </w:r>
    </w:p>
    <w:p>
      <w:pPr>
        <w:spacing w:line="240" w:lineRule="auto"/>
        <w:ind w:firstLine="720"/>
        <w:jc w:val="both"/>
        <w:rPr>
          <w:rFonts w:ascii="Times New Roman" w:hAnsi="Times New Roman" w:eastAsia="Times New Roman"/>
          <w:b/>
          <w:sz w:val="28"/>
          <w:szCs w:val="28"/>
          <w:lang w:val="uk-UA"/>
        </w:rPr>
      </w:pPr>
      <w:r>
        <w:rPr>
          <w:rFonts w:ascii="Times New Roman" w:hAnsi="Times New Roman" w:eastAsia="Times New Roman"/>
          <w:b/>
          <w:sz w:val="28"/>
          <w:szCs w:val="28"/>
        </w:rPr>
        <w:t>Наявність необхідного розміру і простору:</w:t>
      </w:r>
    </w:p>
    <w:p>
      <w:pPr>
        <w:numPr>
          <w:ilvl w:val="0"/>
          <w:numId w:val="38"/>
        </w:numPr>
        <w:tabs>
          <w:tab w:val="left" w:pos="1078"/>
        </w:tabs>
        <w:spacing w:line="240" w:lineRule="auto"/>
        <w:jc w:val="both"/>
        <w:rPr>
          <w:rFonts w:ascii="Times New Roman" w:hAnsi="Times New Roman" w:eastAsia="Times New Roman"/>
          <w:sz w:val="28"/>
          <w:szCs w:val="28"/>
          <w:lang w:val="uk-UA"/>
        </w:rPr>
      </w:pPr>
      <w:r>
        <w:rPr>
          <w:rFonts w:ascii="Times New Roman" w:hAnsi="Times New Roman" w:eastAsia="Times New Roman"/>
          <w:sz w:val="28"/>
          <w:szCs w:val="28"/>
        </w:rPr>
        <w:t>доступні навчальні місця для здобувачів освіти, у тому числі з прилеглим простором для асистентів вчителів;</w:t>
      </w:r>
    </w:p>
    <w:p>
      <w:pPr>
        <w:numPr>
          <w:ilvl w:val="0"/>
          <w:numId w:val="38"/>
        </w:numPr>
        <w:tabs>
          <w:tab w:val="left" w:pos="1078"/>
        </w:tabs>
        <w:spacing w:line="240" w:lineRule="auto"/>
        <w:jc w:val="both"/>
        <w:rPr>
          <w:rFonts w:ascii="Times New Roman" w:hAnsi="Times New Roman" w:eastAsia="Times New Roman"/>
          <w:sz w:val="28"/>
          <w:szCs w:val="28"/>
          <w:lang w:val="uk-UA"/>
        </w:rPr>
      </w:pPr>
      <w:r>
        <w:rPr>
          <w:rFonts w:ascii="Times New Roman" w:hAnsi="Times New Roman" w:eastAsia="Times New Roman"/>
          <w:sz w:val="28"/>
          <w:szCs w:val="28"/>
          <w:lang w:val="uk-UA"/>
        </w:rPr>
        <w:t>меблі, фурнітура та обладнання, що підтримують широкий спектр навчання та навчальних методик; можливість регулювання середовища (наприклад, освітлення) для різноманітних потреб здобувачів освіти у навчанні та інше.</w:t>
      </w:r>
    </w:p>
    <w:p>
      <w:pPr>
        <w:spacing w:line="240" w:lineRule="auto"/>
        <w:ind w:left="260" w:right="580" w:firstLine="720"/>
        <w:jc w:val="both"/>
        <w:rPr>
          <w:rFonts w:ascii="Times New Roman" w:hAnsi="Times New Roman" w:eastAsia="Times New Roman"/>
          <w:b/>
          <w:sz w:val="28"/>
          <w:szCs w:val="28"/>
          <w:lang w:val="uk-UA"/>
        </w:rPr>
      </w:pPr>
      <w:r>
        <w:rPr>
          <w:rFonts w:ascii="Times New Roman" w:hAnsi="Times New Roman" w:eastAsia="Times New Roman"/>
          <w:b/>
          <w:sz w:val="28"/>
          <w:szCs w:val="28"/>
        </w:rPr>
        <w:t xml:space="preserve">Умови доступності закладу освіти для </w:t>
      </w:r>
      <w:r>
        <w:rPr>
          <w:rFonts w:ascii="Times New Roman" w:hAnsi="Times New Roman" w:eastAsia="Times New Roman"/>
          <w:sz w:val="28"/>
          <w:szCs w:val="28"/>
        </w:rPr>
        <w:t>н</w:t>
      </w:r>
      <w:r>
        <w:rPr>
          <w:rFonts w:ascii="Times New Roman" w:hAnsi="Times New Roman" w:eastAsia="Times New Roman"/>
          <w:b/>
          <w:sz w:val="28"/>
          <w:szCs w:val="28"/>
        </w:rPr>
        <w:t>авчання осіб з особливими освітніми потребами</w:t>
      </w:r>
    </w:p>
    <w:p>
      <w:pPr>
        <w:numPr>
          <w:ilvl w:val="1"/>
          <w:numId w:val="39"/>
        </w:numPr>
        <w:tabs>
          <w:tab w:val="left" w:pos="1292"/>
        </w:tabs>
        <w:spacing w:line="240" w:lineRule="auto"/>
        <w:ind w:left="260" w:firstLine="720"/>
        <w:jc w:val="both"/>
        <w:rPr>
          <w:rFonts w:ascii="Times New Roman" w:hAnsi="Times New Roman" w:eastAsia="Times New Roman"/>
          <w:sz w:val="28"/>
          <w:szCs w:val="28"/>
        </w:rPr>
      </w:pPr>
      <w:r>
        <w:rPr>
          <w:rFonts w:ascii="Times New Roman" w:hAnsi="Times New Roman" w:eastAsia="Times New Roman"/>
          <w:sz w:val="28"/>
          <w:szCs w:val="28"/>
        </w:rPr>
        <w:t xml:space="preserve">закладі освіти створено </w:t>
      </w:r>
      <w:r>
        <w:rPr>
          <w:rFonts w:ascii="Times New Roman" w:hAnsi="Times New Roman" w:eastAsia="Times New Roman"/>
          <w:sz w:val="28"/>
          <w:szCs w:val="28"/>
          <w:lang w:val="uk-UA"/>
        </w:rPr>
        <w:t xml:space="preserve">певні </w:t>
      </w:r>
      <w:r>
        <w:rPr>
          <w:rFonts w:ascii="Times New Roman" w:hAnsi="Times New Roman" w:eastAsia="Times New Roman"/>
          <w:sz w:val="28"/>
          <w:szCs w:val="28"/>
        </w:rPr>
        <w:t>умови для навчання осіб з особливими освітніми потребами:</w:t>
      </w:r>
    </w:p>
    <w:p>
      <w:pPr>
        <w:spacing w:after="0" w:line="240" w:lineRule="auto"/>
        <w:ind w:left="980"/>
        <w:jc w:val="both"/>
        <w:rPr>
          <w:rFonts w:ascii="Times New Roman" w:hAnsi="Times New Roman" w:eastAsia="Times New Roman"/>
          <w:sz w:val="28"/>
          <w:szCs w:val="28"/>
        </w:rPr>
      </w:pPr>
      <w:r>
        <w:rPr>
          <w:rFonts w:ascii="Times New Roman" w:hAnsi="Times New Roman" w:eastAsia="Times New Roman"/>
          <w:sz w:val="28"/>
          <w:szCs w:val="28"/>
          <w:lang w:val="uk-UA"/>
        </w:rPr>
        <w:t xml:space="preserve"> </w:t>
      </w:r>
      <w:r>
        <w:rPr>
          <w:rFonts w:ascii="Times New Roman" w:hAnsi="Times New Roman" w:eastAsia="Times New Roman"/>
          <w:sz w:val="28"/>
          <w:szCs w:val="28"/>
        </w:rPr>
        <w:t>Теплі, затишні, ошатні класні кімнати на першому поверсі.</w:t>
      </w:r>
    </w:p>
    <w:p>
      <w:pPr>
        <w:spacing w:after="0" w:line="240" w:lineRule="auto"/>
        <w:ind w:left="260" w:firstLine="720"/>
        <w:jc w:val="both"/>
        <w:rPr>
          <w:rFonts w:ascii="Times New Roman" w:hAnsi="Times New Roman" w:eastAsia="Times New Roman"/>
          <w:sz w:val="28"/>
          <w:szCs w:val="28"/>
        </w:rPr>
      </w:pPr>
      <w:r>
        <w:rPr>
          <w:rFonts w:ascii="Times New Roman" w:hAnsi="Times New Roman" w:eastAsia="Times New Roman"/>
          <w:sz w:val="28"/>
          <w:szCs w:val="28"/>
          <w:lang w:val="uk-UA"/>
        </w:rPr>
        <w:t xml:space="preserve"> </w:t>
      </w:r>
      <w:r>
        <w:rPr>
          <w:rFonts w:ascii="Times New Roman" w:hAnsi="Times New Roman" w:eastAsia="Times New Roman"/>
          <w:sz w:val="28"/>
          <w:szCs w:val="28"/>
        </w:rPr>
        <w:t>Внутрішні туалети на першому поверсі.</w:t>
      </w:r>
    </w:p>
    <w:p>
      <w:pPr>
        <w:spacing w:after="0" w:line="240" w:lineRule="auto"/>
        <w:jc w:val="both"/>
        <w:rPr>
          <w:rFonts w:ascii="Times New Roman" w:hAnsi="Times New Roman" w:eastAsia="Times New Roman"/>
          <w:sz w:val="28"/>
          <w:szCs w:val="28"/>
        </w:rPr>
      </w:pPr>
      <w:r>
        <w:rPr>
          <w:rFonts w:ascii="Times New Roman" w:hAnsi="Times New Roman" w:eastAsia="Times New Roman"/>
          <w:sz w:val="28"/>
          <w:szCs w:val="28"/>
          <w:lang w:val="uk-UA"/>
        </w:rPr>
        <w:t xml:space="preserve">              </w:t>
      </w:r>
      <w:r>
        <w:rPr>
          <w:rFonts w:ascii="Times New Roman" w:hAnsi="Times New Roman" w:eastAsia="Times New Roman"/>
          <w:sz w:val="28"/>
          <w:szCs w:val="28"/>
        </w:rPr>
        <w:t>Роздягальня в класній кімнаті.</w:t>
      </w:r>
    </w:p>
    <w:p>
      <w:pPr>
        <w:spacing w:after="0" w:line="240" w:lineRule="auto"/>
        <w:ind w:left="260" w:firstLine="720"/>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w:t>
      </w:r>
      <w:r>
        <w:rPr>
          <w:rFonts w:ascii="Times New Roman" w:hAnsi="Times New Roman" w:eastAsia="Times New Roman"/>
          <w:sz w:val="28"/>
          <w:szCs w:val="28"/>
        </w:rPr>
        <w:t>Шкільна їдальня на першому поверсі.</w:t>
      </w:r>
    </w:p>
    <w:p>
      <w:pPr>
        <w:spacing w:after="0" w:line="240" w:lineRule="auto"/>
        <w:ind w:left="260" w:firstLine="720"/>
        <w:jc w:val="both"/>
        <w:rPr>
          <w:rFonts w:ascii="Times New Roman" w:hAnsi="Times New Roman" w:eastAsia="Times New Roman"/>
          <w:sz w:val="28"/>
          <w:szCs w:val="28"/>
          <w:lang w:val="uk-UA"/>
        </w:rPr>
      </w:pPr>
      <w:r>
        <w:rPr>
          <w:rFonts w:ascii="Times New Roman" w:hAnsi="Times New Roman" w:eastAsia="Times New Roman"/>
          <w:sz w:val="28"/>
          <w:szCs w:val="28"/>
          <w:lang w:val="uk-UA"/>
        </w:rPr>
        <w:t xml:space="preserve"> А</w:t>
      </w:r>
      <w:r>
        <w:rPr>
          <w:rFonts w:ascii="Times New Roman" w:hAnsi="Times New Roman" w:eastAsia="Times New Roman"/>
          <w:sz w:val="28"/>
          <w:szCs w:val="28"/>
        </w:rPr>
        <w:t>ктовий зали на першому поверсі.</w:t>
      </w:r>
    </w:p>
    <w:p>
      <w:pPr>
        <w:spacing w:after="0" w:line="240" w:lineRule="auto"/>
        <w:jc w:val="both"/>
        <w:rPr>
          <w:rFonts w:ascii="Times New Roman" w:hAnsi="Times New Roman" w:eastAsia="Times New Roman"/>
          <w:sz w:val="24"/>
          <w:szCs w:val="24"/>
          <w:lang w:val="uk-UA"/>
        </w:rPr>
      </w:pPr>
      <w:r>
        <w:rPr>
          <w:rFonts w:ascii="Times New Roman" w:hAnsi="Times New Roman" w:eastAsia="Times New Roman"/>
          <w:sz w:val="24"/>
          <w:szCs w:val="24"/>
        </w:rPr>
        <w:t>При вході до школи розташовано пандус для колісних крісел.</w:t>
      </w:r>
    </w:p>
    <w:p>
      <w:pPr>
        <w:tabs>
          <w:tab w:val="left" w:pos="502"/>
        </w:tabs>
        <w:spacing w:line="240" w:lineRule="auto"/>
        <w:ind w:right="40"/>
        <w:jc w:val="both"/>
        <w:rPr>
          <w:rFonts w:ascii="Times New Roman" w:hAnsi="Times New Roman" w:eastAsia="Times New Roman"/>
          <w:sz w:val="24"/>
          <w:szCs w:val="24"/>
          <w:lang w:val="uk-UA"/>
        </w:rPr>
      </w:pPr>
      <w:r>
        <w:rPr>
          <w:rFonts w:ascii="Times New Roman" w:hAnsi="Times New Roman" w:eastAsia="Times New Roman"/>
          <w:sz w:val="24"/>
          <w:szCs w:val="24"/>
          <w:lang w:val="uk-UA"/>
        </w:rPr>
        <w:t>Освітній процес у разі потреби забезпечується навчальною, методичною та науковою літературою на паперових та електронних носіях завдяки фондам шкільної бібліотеки.</w:t>
      </w:r>
    </w:p>
    <w:p>
      <w:pPr>
        <w:tabs>
          <w:tab w:val="left" w:pos="502"/>
        </w:tabs>
        <w:spacing w:line="240" w:lineRule="auto"/>
        <w:jc w:val="both"/>
        <w:rPr>
          <w:rFonts w:ascii="Times New Roman" w:hAnsi="Times New Roman" w:eastAsia="Times New Roman" w:cs="Times New Roman"/>
          <w:sz w:val="28"/>
          <w:szCs w:val="28"/>
          <w:lang w:val="uk-UA" w:eastAsia="ru-RU"/>
        </w:rPr>
      </w:pPr>
      <w:r>
        <w:rPr>
          <w:rFonts w:ascii="Times New Roman" w:hAnsi="Times New Roman" w:eastAsia="Times New Roman"/>
          <w:sz w:val="24"/>
          <w:szCs w:val="24"/>
        </w:rPr>
        <w:t>Для якісного соціально-психологічного та психолого-медико-педагогічного супровіду дітей з особливими потребами, батьків та педагогів у штаті є посад</w:t>
      </w:r>
      <w:r>
        <w:rPr>
          <w:rFonts w:ascii="Times New Roman" w:hAnsi="Times New Roman" w:eastAsia="Times New Roman"/>
          <w:sz w:val="24"/>
          <w:szCs w:val="24"/>
          <w:lang w:val="uk-UA"/>
        </w:rPr>
        <w:t>а</w:t>
      </w:r>
      <w:r>
        <w:rPr>
          <w:rFonts w:ascii="Times New Roman" w:hAnsi="Times New Roman" w:eastAsia="Times New Roman"/>
          <w:sz w:val="24"/>
          <w:szCs w:val="24"/>
        </w:rPr>
        <w:t xml:space="preserve"> медичної сестри.</w:t>
      </w:r>
    </w:p>
    <w:p>
      <w:pPr>
        <w:spacing w:after="0" w:line="432" w:lineRule="atLeast"/>
        <w:ind w:firstLine="7700" w:firstLineChars="2750"/>
        <w:jc w:val="both"/>
        <w:rPr>
          <w:rFonts w:ascii="Times New Roman" w:hAnsi="Times New Roman" w:eastAsia="Times New Roman" w:cs="Times New Roman"/>
          <w:sz w:val="28"/>
          <w:szCs w:val="28"/>
          <w:lang w:val="uk-UA" w:eastAsia="ru-RU"/>
        </w:rPr>
      </w:pPr>
    </w:p>
    <w:p>
      <w:pPr>
        <w:spacing w:after="0" w:line="432" w:lineRule="atLeast"/>
        <w:ind w:firstLine="7700" w:firstLineChars="2750"/>
        <w:jc w:val="both"/>
        <w:rPr>
          <w:rFonts w:ascii="Times New Roman" w:hAnsi="Times New Roman" w:eastAsia="Times New Roman" w:cs="Times New Roman"/>
          <w:sz w:val="28"/>
          <w:szCs w:val="28"/>
          <w:lang w:val="uk-UA" w:eastAsia="ru-RU"/>
        </w:rPr>
      </w:pPr>
      <w:bookmarkStart w:id="11" w:name="_GoBack"/>
      <w:bookmarkEnd w:id="11"/>
      <w:r>
        <w:rPr>
          <w:rFonts w:ascii="Times New Roman" w:hAnsi="Times New Roman" w:eastAsia="Times New Roman" w:cs="Times New Roman"/>
          <w:sz w:val="28"/>
          <w:szCs w:val="28"/>
          <w:lang w:val="uk-UA" w:eastAsia="ru-RU"/>
        </w:rPr>
        <w:t>Додаток 1</w:t>
      </w:r>
    </w:p>
    <w:p>
      <w:pPr>
        <w:pStyle w:val="2"/>
        <w:rPr>
          <w:color w:val="212121"/>
          <w:sz w:val="28"/>
          <w:szCs w:val="28"/>
          <w:u w:val="thick" w:color="212121"/>
        </w:rPr>
      </w:pPr>
      <w:r>
        <w:rPr>
          <w:color w:val="212121"/>
          <w:sz w:val="28"/>
          <w:szCs w:val="28"/>
          <w:u w:val="thick" w:color="212121"/>
        </w:rPr>
        <w:t xml:space="preserve">Критерії оцінювання навчальних досягнень учнів </w:t>
      </w:r>
      <w:r>
        <w:rPr>
          <w:color w:val="212121"/>
          <w:spacing w:val="-3"/>
          <w:sz w:val="28"/>
          <w:szCs w:val="28"/>
          <w:u w:val="thick" w:color="212121"/>
          <w:lang w:val="uk-UA"/>
        </w:rPr>
        <w:t>п</w:t>
      </w:r>
      <w:r>
        <w:rPr>
          <w:color w:val="212121"/>
          <w:spacing w:val="-3"/>
          <w:sz w:val="28"/>
          <w:szCs w:val="28"/>
          <w:u w:val="thick" w:color="212121"/>
        </w:rPr>
        <w:t>очаткової</w:t>
      </w:r>
      <w:r>
        <w:rPr>
          <w:color w:val="212121"/>
          <w:spacing w:val="-3"/>
          <w:sz w:val="28"/>
          <w:szCs w:val="28"/>
          <w:u w:val="thick" w:color="212121"/>
          <w:lang w:val="uk-UA"/>
        </w:rPr>
        <w:t xml:space="preserve"> </w:t>
      </w:r>
      <w:r>
        <w:rPr>
          <w:color w:val="212121"/>
          <w:spacing w:val="-65"/>
          <w:sz w:val="28"/>
          <w:szCs w:val="28"/>
          <w:u w:val="thick" w:color="212121"/>
        </w:rPr>
        <w:t xml:space="preserve"> </w:t>
      </w:r>
      <w:r>
        <w:rPr>
          <w:color w:val="212121"/>
          <w:sz w:val="28"/>
          <w:szCs w:val="28"/>
          <w:u w:val="thick" w:color="212121"/>
        </w:rPr>
        <w:t>школи</w:t>
      </w:r>
    </w:p>
    <w:tbl>
      <w:tblPr>
        <w:tblStyle w:val="41"/>
        <w:tblW w:w="0" w:type="auto"/>
        <w:tblInd w:w="150" w:type="dxa"/>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Layout w:type="fixed"/>
        <w:tblCellMar>
          <w:top w:w="0" w:type="dxa"/>
          <w:left w:w="0" w:type="dxa"/>
          <w:bottom w:w="0" w:type="dxa"/>
          <w:right w:w="0" w:type="dxa"/>
        </w:tblCellMar>
      </w:tblPr>
      <w:tblGrid>
        <w:gridCol w:w="1134"/>
        <w:gridCol w:w="8222"/>
        <w:gridCol w:w="20"/>
      </w:tblGrid>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trHeight w:val="514" w:hRule="atLeast"/>
        </w:trPr>
        <w:tc>
          <w:tcPr>
            <w:tcW w:w="1134" w:type="dxa"/>
            <w:tcBorders>
              <w:top w:val="single" w:color="DDDDDD" w:sz="6" w:space="0"/>
              <w:left w:val="single" w:color="DDDDDD" w:sz="6" w:space="0"/>
              <w:bottom w:val="single" w:color="DDDDDD" w:sz="6" w:space="0"/>
              <w:right w:val="single" w:color="DDDDDD" w:sz="6" w:space="0"/>
            </w:tcBorders>
          </w:tcPr>
          <w:p>
            <w:pPr>
              <w:pStyle w:val="25"/>
              <w:spacing w:before="1" w:line="240" w:lineRule="auto"/>
              <w:ind w:left="0" w:right="159"/>
              <w:jc w:val="center"/>
              <w:rPr>
                <w:b/>
                <w:color w:val="212121"/>
                <w:sz w:val="16"/>
                <w:szCs w:val="16"/>
              </w:rPr>
            </w:pPr>
            <w:r>
              <w:rPr>
                <w:b/>
                <w:color w:val="212121"/>
                <w:sz w:val="16"/>
                <w:szCs w:val="16"/>
                <w:lang w:val="en-US"/>
              </w:rPr>
              <w:t>Рівн</w:t>
            </w:r>
            <w:r>
              <w:rPr>
                <w:b/>
                <w:color w:val="212121"/>
                <w:sz w:val="16"/>
                <w:szCs w:val="16"/>
              </w:rPr>
              <w:t>і</w:t>
            </w:r>
            <w:r>
              <w:rPr>
                <w:b/>
                <w:color w:val="212121"/>
                <w:sz w:val="16"/>
                <w:szCs w:val="16"/>
                <w:lang w:val="en-US"/>
              </w:rPr>
              <w:t xml:space="preserve"> </w:t>
            </w:r>
            <w:r>
              <w:rPr>
                <w:b/>
                <w:color w:val="212121"/>
                <w:sz w:val="16"/>
                <w:szCs w:val="16"/>
              </w:rPr>
              <w:t xml:space="preserve">    </w:t>
            </w:r>
            <w:r>
              <w:rPr>
                <w:b/>
                <w:color w:val="212121"/>
                <w:sz w:val="16"/>
                <w:szCs w:val="16"/>
                <w:lang w:val="en-US"/>
              </w:rPr>
              <w:t>навчальних</w:t>
            </w:r>
            <w:r>
              <w:rPr>
                <w:b/>
                <w:color w:val="212121"/>
                <w:sz w:val="16"/>
                <w:szCs w:val="16"/>
              </w:rPr>
              <w:t xml:space="preserve">  д</w:t>
            </w:r>
            <w:r>
              <w:rPr>
                <w:b/>
                <w:color w:val="212121"/>
                <w:sz w:val="16"/>
                <w:szCs w:val="16"/>
                <w:lang w:val="en-US"/>
              </w:rPr>
              <w:t>осягнень</w:t>
            </w:r>
          </w:p>
        </w:tc>
        <w:tc>
          <w:tcPr>
            <w:tcW w:w="8242" w:type="dxa"/>
            <w:gridSpan w:val="2"/>
            <w:tcBorders>
              <w:top w:val="single" w:color="DDDDDD" w:sz="6" w:space="0"/>
              <w:left w:val="single" w:color="DDDDDD" w:sz="6" w:space="0"/>
              <w:bottom w:val="single" w:color="DDDDDD" w:sz="6" w:space="0"/>
              <w:right w:val="single" w:color="DDDDDD" w:sz="6" w:space="0"/>
            </w:tcBorders>
          </w:tcPr>
          <w:p>
            <w:pPr>
              <w:pStyle w:val="25"/>
              <w:spacing w:before="1" w:line="276" w:lineRule="auto"/>
              <w:ind w:left="0" w:right="283"/>
              <w:jc w:val="center"/>
              <w:rPr>
                <w:b/>
                <w:sz w:val="28"/>
                <w:szCs w:val="28"/>
                <w:lang w:val="ru-RU"/>
              </w:rPr>
            </w:pPr>
            <w:r>
              <w:rPr>
                <w:b/>
                <w:color w:val="212121"/>
                <w:sz w:val="28"/>
                <w:szCs w:val="28"/>
                <w:lang w:val="ru-RU"/>
              </w:rPr>
              <w:t>Загальні критерії оцінювання навчальних  досягнень учнів</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683" w:hRule="atLeast"/>
        </w:trPr>
        <w:tc>
          <w:tcPr>
            <w:tcW w:w="1134" w:type="dxa"/>
            <w:vMerge w:val="restart"/>
            <w:tcBorders>
              <w:top w:val="single" w:color="DDDDDD" w:sz="6" w:space="0"/>
              <w:left w:val="single" w:color="DDDDDD" w:sz="6" w:space="0"/>
              <w:bottom w:val="single" w:color="DDDDDD" w:sz="6" w:space="0"/>
              <w:right w:val="single" w:color="DDDDDD" w:sz="6" w:space="0"/>
            </w:tcBorders>
          </w:tcPr>
          <w:p>
            <w:pPr>
              <w:pStyle w:val="25"/>
              <w:rPr>
                <w:b/>
                <w:sz w:val="24"/>
                <w:szCs w:val="24"/>
                <w:lang w:val="ru-RU"/>
              </w:rPr>
            </w:pPr>
          </w:p>
          <w:p>
            <w:pPr>
              <w:pStyle w:val="25"/>
              <w:rPr>
                <w:b/>
                <w:sz w:val="24"/>
                <w:szCs w:val="24"/>
                <w:lang w:val="ru-RU"/>
              </w:rPr>
            </w:pPr>
          </w:p>
          <w:p>
            <w:pPr>
              <w:pStyle w:val="25"/>
              <w:rPr>
                <w:b/>
                <w:sz w:val="24"/>
                <w:szCs w:val="24"/>
                <w:lang w:val="ru-RU"/>
              </w:rPr>
            </w:pPr>
          </w:p>
          <w:p>
            <w:pPr>
              <w:pStyle w:val="25"/>
              <w:spacing w:before="10"/>
              <w:rPr>
                <w:b/>
                <w:sz w:val="24"/>
                <w:szCs w:val="24"/>
                <w:lang w:val="ru-RU"/>
              </w:rPr>
            </w:pPr>
          </w:p>
          <w:p>
            <w:pPr>
              <w:pStyle w:val="25"/>
              <w:spacing w:before="1" w:line="276" w:lineRule="auto"/>
              <w:ind w:left="304" w:right="159"/>
              <w:rPr>
                <w:b/>
                <w:color w:val="212121"/>
                <w:sz w:val="24"/>
                <w:szCs w:val="24"/>
              </w:rPr>
            </w:pPr>
            <w:r>
              <w:rPr>
                <w:b/>
                <w:color w:val="212121"/>
                <w:sz w:val="24"/>
                <w:szCs w:val="24"/>
                <w:lang w:val="en-US"/>
              </w:rPr>
              <w:t>I.</w:t>
            </w:r>
          </w:p>
          <w:p>
            <w:pPr>
              <w:pStyle w:val="25"/>
              <w:spacing w:before="1" w:line="276" w:lineRule="auto"/>
              <w:ind w:left="0" w:right="159"/>
              <w:rPr>
                <w:b/>
                <w:sz w:val="16"/>
                <w:szCs w:val="16"/>
                <w:lang w:val="en-US"/>
              </w:rPr>
            </w:pPr>
            <w:r>
              <w:rPr>
                <w:b/>
                <w:color w:val="212121"/>
                <w:sz w:val="20"/>
                <w:szCs w:val="20"/>
              </w:rPr>
              <w:t xml:space="preserve"> </w:t>
            </w:r>
            <w:r>
              <w:rPr>
                <w:b/>
                <w:color w:val="212121"/>
                <w:sz w:val="16"/>
                <w:szCs w:val="16"/>
                <w:lang w:val="en-US"/>
              </w:rPr>
              <w:t>Початк</w:t>
            </w:r>
            <w:r>
              <w:rPr>
                <w:b/>
                <w:color w:val="212121"/>
                <w:sz w:val="16"/>
                <w:szCs w:val="16"/>
              </w:rPr>
              <w:t>о</w:t>
            </w:r>
            <w:r>
              <w:rPr>
                <w:b/>
                <w:color w:val="212121"/>
                <w:sz w:val="16"/>
                <w:szCs w:val="16"/>
                <w:lang w:val="en-US"/>
              </w:rPr>
              <w:t>вий</w:t>
            </w:r>
          </w:p>
        </w:tc>
        <w:tc>
          <w:tcPr>
            <w:tcW w:w="8242" w:type="dxa"/>
            <w:gridSpan w:val="2"/>
            <w:tcBorders>
              <w:top w:val="single" w:color="DDDDDD" w:sz="6" w:space="0"/>
              <w:left w:val="single" w:color="DDDDDD" w:sz="6" w:space="0"/>
              <w:bottom w:val="single" w:color="DDDDDD" w:sz="6" w:space="0"/>
              <w:right w:val="single" w:color="DDDDDD" w:sz="6" w:space="0"/>
            </w:tcBorders>
          </w:tcPr>
          <w:p>
            <w:pPr>
              <w:pStyle w:val="25"/>
              <w:tabs>
                <w:tab w:val="left" w:pos="1151"/>
                <w:tab w:val="left" w:pos="2402"/>
                <w:tab w:val="left" w:pos="3485"/>
                <w:tab w:val="left" w:pos="3940"/>
                <w:tab w:val="left" w:pos="4926"/>
                <w:tab w:val="left" w:pos="6189"/>
              </w:tabs>
              <w:spacing w:before="80" w:line="276" w:lineRule="auto"/>
              <w:ind w:left="301" w:right="283"/>
              <w:rPr>
                <w:lang w:val="ru-RU"/>
              </w:rPr>
            </w:pPr>
            <w:r>
              <w:rPr>
                <w:color w:val="212121"/>
                <w:lang w:val="ru-RU"/>
              </w:rPr>
              <w:t>Учні</w:t>
            </w:r>
            <w:r>
              <w:rPr>
                <w:color w:val="212121"/>
                <w:lang w:val="ru-RU"/>
              </w:rPr>
              <w:tab/>
            </w:r>
            <w:r>
              <w:rPr>
                <w:color w:val="212121"/>
                <w:lang w:val="ru-RU"/>
              </w:rPr>
              <w:t>засвоїли</w:t>
            </w:r>
            <w:r>
              <w:rPr>
                <w:color w:val="212121"/>
                <w:lang w:val="ru-RU"/>
              </w:rPr>
              <w:tab/>
            </w:r>
            <w:r>
              <w:rPr>
                <w:color w:val="212121"/>
                <w:lang w:val="ru-RU"/>
              </w:rPr>
              <w:t>знання</w:t>
            </w:r>
            <w:r>
              <w:rPr>
                <w:color w:val="212121"/>
                <w:lang w:val="ru-RU"/>
              </w:rPr>
              <w:tab/>
            </w:r>
            <w:r>
              <w:rPr>
                <w:color w:val="212121"/>
                <w:lang w:val="ru-RU"/>
              </w:rPr>
              <w:t>у</w:t>
            </w:r>
            <w:r>
              <w:rPr>
                <w:color w:val="212121"/>
                <w:lang w:val="ru-RU"/>
              </w:rPr>
              <w:tab/>
            </w:r>
            <w:r>
              <w:rPr>
                <w:color w:val="212121"/>
                <w:lang w:val="ru-RU"/>
              </w:rPr>
              <w:t>формі</w:t>
            </w:r>
            <w:r>
              <w:rPr>
                <w:color w:val="212121"/>
                <w:lang w:val="ru-RU"/>
              </w:rPr>
              <w:tab/>
            </w:r>
            <w:r>
              <w:rPr>
                <w:color w:val="212121"/>
                <w:lang w:val="ru-RU"/>
              </w:rPr>
              <w:t xml:space="preserve">окремих </w:t>
            </w:r>
            <w:r>
              <w:rPr>
                <w:color w:val="212121"/>
                <w:spacing w:val="-4"/>
                <w:lang w:val="ru-RU"/>
              </w:rPr>
              <w:t xml:space="preserve">фактів, </w:t>
            </w:r>
            <w:r>
              <w:rPr>
                <w:color w:val="212121"/>
                <w:lang w:val="ru-RU"/>
              </w:rPr>
              <w:t>елементарних</w:t>
            </w:r>
            <w:r>
              <w:rPr>
                <w:color w:val="212121"/>
                <w:spacing w:val="-1"/>
                <w:lang w:val="ru-RU"/>
              </w:rPr>
              <w:t xml:space="preserve"> </w:t>
            </w:r>
            <w:r>
              <w:rPr>
                <w:color w:val="212121"/>
                <w:lang w:val="ru-RU"/>
              </w:rPr>
              <w:t>уявлень</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trHeight w:val="949" w:hRule="atLeast"/>
        </w:trPr>
        <w:tc>
          <w:tcPr>
            <w:tcW w:w="1134"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ru-RU"/>
              </w:rPr>
            </w:pPr>
          </w:p>
        </w:tc>
        <w:tc>
          <w:tcPr>
            <w:tcW w:w="8242" w:type="dxa"/>
            <w:gridSpan w:val="2"/>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ight="284"/>
              <w:jc w:val="both"/>
              <w:rPr>
                <w:lang w:val="ru-RU"/>
              </w:rPr>
            </w:pPr>
            <w:r>
              <w:rPr>
                <w:color w:val="212121"/>
                <w:lang w:val="ru-RU"/>
              </w:rPr>
              <w:t>Учні відтворюють незначну частину навчального</w:t>
            </w:r>
            <w:r>
              <w:rPr>
                <w:color w:val="212121"/>
                <w:spacing w:val="-37"/>
                <w:lang w:val="ru-RU"/>
              </w:rPr>
              <w:t xml:space="preserve"> </w:t>
            </w:r>
            <w:r>
              <w:rPr>
                <w:color w:val="212121"/>
                <w:spacing w:val="-4"/>
                <w:lang w:val="ru-RU"/>
              </w:rPr>
              <w:t xml:space="preserve">матеріалу, </w:t>
            </w:r>
            <w:r>
              <w:rPr>
                <w:color w:val="212121"/>
                <w:lang w:val="ru-RU"/>
              </w:rPr>
              <w:t>володіють окремими видами умінь на рівні копіювання зразка виконання певної навчальної</w:t>
            </w:r>
            <w:r>
              <w:rPr>
                <w:color w:val="212121"/>
                <w:spacing w:val="-8"/>
                <w:lang w:val="ru-RU"/>
              </w:rPr>
              <w:t xml:space="preserve"> </w:t>
            </w:r>
            <w:r>
              <w:rPr>
                <w:color w:val="212121"/>
                <w:lang w:val="ru-RU"/>
              </w:rPr>
              <w:t>дії</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880" w:hRule="atLeast"/>
        </w:trPr>
        <w:tc>
          <w:tcPr>
            <w:tcW w:w="1134"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ru-RU"/>
              </w:rPr>
            </w:pPr>
          </w:p>
        </w:tc>
        <w:tc>
          <w:tcPr>
            <w:tcW w:w="8242" w:type="dxa"/>
            <w:gridSpan w:val="2"/>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ight="280"/>
              <w:jc w:val="both"/>
              <w:rPr>
                <w:color w:val="212121"/>
                <w:lang w:val="ru-RU"/>
              </w:rPr>
            </w:pPr>
            <w:r>
              <w:rPr>
                <w:color w:val="212121"/>
                <w:lang w:val="ru-RU"/>
              </w:rPr>
              <w:t xml:space="preserve">Учні відтворюють незначну частину навчального матеріалу; з допомогою вчителя </w:t>
            </w:r>
            <w:r>
              <w:rPr>
                <w:color w:val="212121"/>
                <w:spacing w:val="-3"/>
                <w:lang w:val="ru-RU"/>
              </w:rPr>
              <w:t xml:space="preserve">виконують </w:t>
            </w:r>
            <w:r>
              <w:rPr>
                <w:color w:val="212121"/>
                <w:lang w:val="ru-RU"/>
              </w:rPr>
              <w:t xml:space="preserve">елементарні завдання, потребують детального кількаразового </w:t>
            </w:r>
            <w:r>
              <w:rPr>
                <w:color w:val="212121"/>
                <w:spacing w:val="-3"/>
                <w:lang w:val="ru-RU"/>
              </w:rPr>
              <w:t xml:space="preserve">їх </w:t>
            </w:r>
            <w:r>
              <w:rPr>
                <w:color w:val="212121"/>
                <w:lang w:val="ru-RU"/>
              </w:rPr>
              <w:t>пояснення</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695" w:hRule="atLeast"/>
        </w:trPr>
        <w:tc>
          <w:tcPr>
            <w:tcW w:w="1134" w:type="dxa"/>
            <w:vMerge w:val="restart"/>
            <w:tcBorders>
              <w:top w:val="single" w:color="DDDDDD" w:sz="6" w:space="0"/>
              <w:left w:val="single" w:color="DDDDDD" w:sz="6" w:space="0"/>
              <w:bottom w:val="single" w:color="DDDDDD" w:sz="6" w:space="0"/>
              <w:right w:val="single" w:color="DDDDDD" w:sz="6" w:space="0"/>
            </w:tcBorders>
          </w:tcPr>
          <w:p>
            <w:pPr>
              <w:pStyle w:val="25"/>
              <w:spacing w:before="79"/>
              <w:ind w:left="304"/>
              <w:rPr>
                <w:b/>
                <w:color w:val="212121"/>
                <w:sz w:val="24"/>
                <w:szCs w:val="24"/>
              </w:rPr>
            </w:pPr>
            <w:r>
              <w:rPr>
                <w:b/>
                <w:color w:val="212121"/>
                <w:sz w:val="24"/>
                <w:szCs w:val="24"/>
                <w:lang w:val="en-US"/>
              </w:rPr>
              <w:t xml:space="preserve">II. </w:t>
            </w:r>
          </w:p>
          <w:p>
            <w:pPr>
              <w:pStyle w:val="25"/>
              <w:spacing w:before="79"/>
              <w:ind w:left="0"/>
              <w:rPr>
                <w:b/>
                <w:sz w:val="20"/>
                <w:szCs w:val="20"/>
                <w:lang w:val="en-US"/>
              </w:rPr>
            </w:pPr>
            <w:r>
              <w:rPr>
                <w:b/>
                <w:color w:val="212121"/>
                <w:sz w:val="20"/>
                <w:szCs w:val="20"/>
              </w:rPr>
              <w:t xml:space="preserve">  </w:t>
            </w:r>
            <w:r>
              <w:rPr>
                <w:b/>
                <w:color w:val="212121"/>
                <w:sz w:val="20"/>
                <w:szCs w:val="20"/>
                <w:lang w:val="en-US"/>
              </w:rPr>
              <w:t>Середній</w:t>
            </w:r>
          </w:p>
        </w:tc>
        <w:tc>
          <w:tcPr>
            <w:tcW w:w="8242" w:type="dxa"/>
            <w:gridSpan w:val="2"/>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Pr>
                <w:color w:val="212121"/>
                <w:lang w:val="ru-RU"/>
              </w:rPr>
            </w:pPr>
            <w:r>
              <w:rPr>
                <w:color w:val="212121"/>
                <w:lang w:val="ru-RU"/>
              </w:rPr>
              <w:t>Учні відтворюють частину навчального матеріалу у формі понять з допомогою вчителя, можуть повторити за зразком певну операцію, дію</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gridAfter w:val="1"/>
          <w:wAfter w:w="20" w:type="dxa"/>
          <w:trHeight w:val="598" w:hRule="atLeast"/>
        </w:trPr>
        <w:tc>
          <w:tcPr>
            <w:tcW w:w="1134" w:type="dxa"/>
            <w:vMerge w:val="continue"/>
            <w:tcBorders>
              <w:left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ru-RU"/>
              </w:rPr>
            </w:pPr>
          </w:p>
        </w:tc>
        <w:tc>
          <w:tcPr>
            <w:tcW w:w="8222"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ight="286"/>
              <w:jc w:val="both"/>
              <w:rPr>
                <w:lang w:val="ru-RU"/>
              </w:rPr>
            </w:pPr>
            <w:r>
              <w:rPr>
                <w:color w:val="212121"/>
                <w:lang w:val="ru-RU"/>
              </w:rPr>
              <w:t>Учні відтворюють основний навчальний матеріал з допомогою вчителя, здатні з помилками й неточностями дати визначення понять</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gridAfter w:val="1"/>
          <w:wAfter w:w="20" w:type="dxa"/>
          <w:trHeight w:val="827" w:hRule="atLeast"/>
        </w:trPr>
        <w:tc>
          <w:tcPr>
            <w:tcW w:w="1134" w:type="dxa"/>
            <w:vMerge w:val="continue"/>
            <w:tcBorders>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ru-RU"/>
              </w:rPr>
            </w:pPr>
          </w:p>
        </w:tc>
        <w:tc>
          <w:tcPr>
            <w:tcW w:w="8222"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ight="279"/>
              <w:jc w:val="both"/>
              <w:rPr>
                <w:lang w:val="ru-RU"/>
              </w:rPr>
            </w:pPr>
            <w:r>
              <w:rPr>
                <w:color w:val="212121"/>
                <w:lang w:val="ru-RU"/>
              </w:rPr>
              <w:t>Учні будують відповідь у засвоєній послідовності; виконують дії за зразком у подібній ситуації; самостійно працюють зі значною допомогою вчителя</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gridAfter w:val="1"/>
          <w:wAfter w:w="20" w:type="dxa"/>
          <w:trHeight w:val="939" w:hRule="atLeast"/>
        </w:trPr>
        <w:tc>
          <w:tcPr>
            <w:tcW w:w="1134" w:type="dxa"/>
            <w:vMerge w:val="restart"/>
            <w:tcBorders>
              <w:top w:val="single" w:color="DDDDDD" w:sz="6" w:space="0"/>
              <w:left w:val="single" w:color="DDDDDD" w:sz="6" w:space="0"/>
              <w:bottom w:val="single" w:color="DDDDDD" w:sz="6" w:space="0"/>
              <w:right w:val="single" w:color="DDDDDD" w:sz="6" w:space="0"/>
            </w:tcBorders>
          </w:tcPr>
          <w:p>
            <w:pPr>
              <w:pStyle w:val="25"/>
              <w:ind w:left="0"/>
              <w:rPr>
                <w:b/>
                <w:sz w:val="24"/>
                <w:szCs w:val="24"/>
                <w:lang w:val="ru-RU"/>
              </w:rPr>
            </w:pPr>
          </w:p>
          <w:p>
            <w:pPr>
              <w:pStyle w:val="25"/>
              <w:rPr>
                <w:b/>
                <w:sz w:val="24"/>
                <w:szCs w:val="24"/>
                <w:lang w:val="ru-RU"/>
              </w:rPr>
            </w:pPr>
          </w:p>
          <w:p>
            <w:pPr>
              <w:pStyle w:val="25"/>
              <w:rPr>
                <w:b/>
                <w:sz w:val="24"/>
                <w:szCs w:val="24"/>
                <w:lang w:val="ru-RU"/>
              </w:rPr>
            </w:pPr>
          </w:p>
          <w:p>
            <w:pPr>
              <w:pStyle w:val="25"/>
              <w:rPr>
                <w:b/>
                <w:sz w:val="24"/>
                <w:szCs w:val="24"/>
                <w:lang w:val="ru-RU"/>
              </w:rPr>
            </w:pPr>
          </w:p>
          <w:p>
            <w:pPr>
              <w:pStyle w:val="25"/>
              <w:spacing w:before="227"/>
              <w:ind w:left="304"/>
              <w:rPr>
                <w:b/>
                <w:sz w:val="24"/>
                <w:szCs w:val="24"/>
                <w:lang w:val="en-US"/>
              </w:rPr>
            </w:pPr>
            <w:r>
              <w:rPr>
                <w:b/>
                <w:color w:val="212121"/>
                <w:sz w:val="24"/>
                <w:szCs w:val="24"/>
                <w:lang w:val="en-US"/>
              </w:rPr>
              <w:t>III.</w:t>
            </w:r>
          </w:p>
          <w:p>
            <w:pPr>
              <w:pStyle w:val="25"/>
              <w:spacing w:before="45"/>
              <w:ind w:left="0"/>
              <w:rPr>
                <w:b/>
                <w:sz w:val="20"/>
                <w:szCs w:val="20"/>
                <w:lang w:val="en-US"/>
              </w:rPr>
            </w:pPr>
            <w:r>
              <w:rPr>
                <w:b/>
                <w:color w:val="212121"/>
                <w:sz w:val="20"/>
                <w:szCs w:val="20"/>
              </w:rPr>
              <w:t xml:space="preserve">  </w:t>
            </w:r>
            <w:r>
              <w:rPr>
                <w:b/>
                <w:color w:val="212121"/>
                <w:sz w:val="20"/>
                <w:szCs w:val="20"/>
                <w:lang w:val="en-US"/>
              </w:rPr>
              <w:t>Достатній</w:t>
            </w:r>
          </w:p>
        </w:tc>
        <w:tc>
          <w:tcPr>
            <w:tcW w:w="8222"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ight="279"/>
              <w:jc w:val="both"/>
              <w:rPr>
                <w:lang w:val="en-US"/>
              </w:rPr>
            </w:pPr>
            <w:r>
              <w:rPr>
                <w:color w:val="212121"/>
                <w:lang w:val="en-US"/>
              </w:rPr>
              <w:t>Учні володіють поняттями, відтворюють їх зміст, уміють наводити окремі власні приклади на підтвердження певних думок, частково контролюють власні навчальні дії</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gridAfter w:val="1"/>
          <w:wAfter w:w="20" w:type="dxa"/>
          <w:trHeight w:val="1498" w:hRule="atLeast"/>
        </w:trPr>
        <w:tc>
          <w:tcPr>
            <w:tcW w:w="1134"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en-US"/>
              </w:rPr>
            </w:pPr>
          </w:p>
        </w:tc>
        <w:tc>
          <w:tcPr>
            <w:tcW w:w="8222" w:type="dxa"/>
            <w:tcBorders>
              <w:top w:val="single" w:color="DDDDDD" w:sz="6" w:space="0"/>
              <w:left w:val="single" w:color="DDDDDD" w:sz="6" w:space="0"/>
              <w:bottom w:val="single" w:color="DDDDDD" w:sz="6" w:space="0"/>
              <w:right w:val="single" w:color="DDDDDD" w:sz="6" w:space="0"/>
            </w:tcBorders>
          </w:tcPr>
          <w:p>
            <w:pPr>
              <w:pStyle w:val="25"/>
              <w:spacing w:before="75" w:line="276" w:lineRule="auto"/>
              <w:ind w:left="301" w:right="278"/>
              <w:jc w:val="both"/>
              <w:rPr>
                <w:lang w:val="en-US"/>
              </w:rPr>
            </w:pPr>
            <w:r>
              <w:rPr>
                <w:color w:val="212121"/>
                <w:lang w:val="en-US"/>
              </w:rPr>
              <w:t xml:space="preserve">Учні вміють розпізнавати об’єкти, </w:t>
            </w:r>
            <w:r>
              <w:rPr>
                <w:color w:val="212121"/>
                <w:spacing w:val="2"/>
                <w:lang w:val="en-US"/>
              </w:rPr>
              <w:t xml:space="preserve">які </w:t>
            </w:r>
            <w:r>
              <w:rPr>
                <w:color w:val="212121"/>
                <w:lang w:val="en-US"/>
              </w:rPr>
              <w:t xml:space="preserve">визначаються засвоєними поняттями; під час відповіді можуть відтворити засвоєний   зміст   в    іншій    послідовності,    не  змінюючи логічних зв’язків; </w:t>
            </w:r>
            <w:r>
              <w:rPr>
                <w:color w:val="212121"/>
                <w:spacing w:val="-3"/>
                <w:lang w:val="en-US"/>
              </w:rPr>
              <w:t xml:space="preserve">володіють </w:t>
            </w:r>
            <w:r>
              <w:rPr>
                <w:color w:val="212121"/>
                <w:lang w:val="en-US"/>
              </w:rPr>
              <w:t xml:space="preserve">вміннями на рівні застосування способу діяльності за аналогією; самостійні роботи </w:t>
            </w:r>
            <w:r>
              <w:rPr>
                <w:color w:val="212121"/>
                <w:spacing w:val="-3"/>
                <w:lang w:val="en-US"/>
              </w:rPr>
              <w:t xml:space="preserve">виконують </w:t>
            </w:r>
            <w:r>
              <w:rPr>
                <w:color w:val="212121"/>
                <w:lang w:val="en-US"/>
              </w:rPr>
              <w:t>з незначною допомогою вчителя; відповідають логічно з окремими</w:t>
            </w:r>
            <w:r>
              <w:rPr>
                <w:color w:val="212121"/>
                <w:spacing w:val="-4"/>
                <w:lang w:val="en-US"/>
              </w:rPr>
              <w:t xml:space="preserve"> </w:t>
            </w:r>
            <w:r>
              <w:rPr>
                <w:color w:val="212121"/>
                <w:lang w:val="en-US"/>
              </w:rPr>
              <w:t>неточностями</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gridAfter w:val="1"/>
          <w:wAfter w:w="20" w:type="dxa"/>
          <w:trHeight w:val="1164" w:hRule="atLeast"/>
        </w:trPr>
        <w:tc>
          <w:tcPr>
            <w:tcW w:w="1134"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en-US"/>
              </w:rPr>
            </w:pPr>
          </w:p>
        </w:tc>
        <w:tc>
          <w:tcPr>
            <w:tcW w:w="8222" w:type="dxa"/>
            <w:tcBorders>
              <w:top w:val="single" w:color="DDDDDD" w:sz="6" w:space="0"/>
              <w:left w:val="single" w:color="DDDDDD" w:sz="6" w:space="0"/>
              <w:bottom w:val="single" w:color="DDDDDD" w:sz="6" w:space="0"/>
              <w:right w:val="single" w:color="DDDDDD" w:sz="6" w:space="0"/>
            </w:tcBorders>
          </w:tcPr>
          <w:p>
            <w:pPr>
              <w:pStyle w:val="25"/>
              <w:tabs>
                <w:tab w:val="left" w:pos="5930"/>
              </w:tabs>
              <w:spacing w:before="79" w:line="276" w:lineRule="auto"/>
              <w:ind w:left="301" w:right="280"/>
              <w:jc w:val="both"/>
              <w:rPr>
                <w:lang w:val="en-US"/>
              </w:rPr>
            </w:pPr>
            <w:r>
              <w:rPr>
                <w:color w:val="212121"/>
                <w:lang w:val="en-US"/>
              </w:rPr>
              <w:t xml:space="preserve">Учні добре володіють вивченим матеріалом, застосовують знання в стандартних ситуаціях, володіють вміннями </w:t>
            </w:r>
            <w:r>
              <w:rPr>
                <w:color w:val="212121"/>
                <w:spacing w:val="-3"/>
                <w:lang w:val="en-US"/>
              </w:rPr>
              <w:t xml:space="preserve">виконувати </w:t>
            </w:r>
            <w:r>
              <w:rPr>
                <w:color w:val="212121"/>
                <w:lang w:val="en-US"/>
              </w:rPr>
              <w:t xml:space="preserve">окремі етапи розв’язання проблеми і застосовують     їх     у  </w:t>
            </w:r>
            <w:r>
              <w:rPr>
                <w:color w:val="212121"/>
                <w:spacing w:val="36"/>
                <w:lang w:val="en-US"/>
              </w:rPr>
              <w:t xml:space="preserve"> </w:t>
            </w:r>
            <w:r>
              <w:rPr>
                <w:color w:val="212121"/>
                <w:lang w:val="en-US"/>
              </w:rPr>
              <w:t>співробітництв</w:t>
            </w:r>
            <w:r>
              <w:rPr>
                <w:color w:val="212121"/>
              </w:rPr>
              <w:t>і</w:t>
            </w:r>
            <w:r>
              <w:rPr>
                <w:color w:val="212121"/>
                <w:spacing w:val="32"/>
                <w:lang w:val="en-US"/>
              </w:rPr>
              <w:t xml:space="preserve"> </w:t>
            </w:r>
            <w:r>
              <w:rPr>
                <w:color w:val="212121"/>
                <w:lang w:val="en-US"/>
              </w:rPr>
              <w:t>з</w:t>
            </w:r>
            <w:r>
              <w:rPr>
                <w:color w:val="212121"/>
              </w:rPr>
              <w:t xml:space="preserve"> </w:t>
            </w:r>
            <w:r>
              <w:rPr>
                <w:color w:val="212121"/>
                <w:spacing w:val="-3"/>
                <w:lang w:val="en-US"/>
              </w:rPr>
              <w:t>учителем (частково-пошукова</w:t>
            </w:r>
            <w:r>
              <w:rPr>
                <w:color w:val="212121"/>
                <w:lang w:val="en-US"/>
              </w:rPr>
              <w:t xml:space="preserve"> діяльність)</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gridAfter w:val="1"/>
          <w:wAfter w:w="20" w:type="dxa"/>
          <w:trHeight w:val="1186" w:hRule="atLeast"/>
        </w:trPr>
        <w:tc>
          <w:tcPr>
            <w:tcW w:w="1134" w:type="dxa"/>
            <w:vMerge w:val="restart"/>
            <w:tcBorders>
              <w:top w:val="single" w:color="DDDDDD" w:sz="6" w:space="0"/>
              <w:left w:val="single" w:color="DDDDDD" w:sz="6" w:space="0"/>
              <w:bottom w:val="single" w:color="DDDDDD" w:sz="6" w:space="0"/>
              <w:right w:val="single" w:color="DDDDDD" w:sz="6" w:space="0"/>
            </w:tcBorders>
          </w:tcPr>
          <w:p>
            <w:pPr>
              <w:pStyle w:val="25"/>
              <w:rPr>
                <w:b/>
                <w:sz w:val="24"/>
                <w:szCs w:val="24"/>
                <w:lang w:val="en-US"/>
              </w:rPr>
            </w:pPr>
          </w:p>
          <w:p>
            <w:pPr>
              <w:pStyle w:val="25"/>
              <w:rPr>
                <w:b/>
                <w:sz w:val="24"/>
                <w:szCs w:val="24"/>
                <w:lang w:val="en-US"/>
              </w:rPr>
            </w:pPr>
          </w:p>
          <w:p>
            <w:pPr>
              <w:pStyle w:val="25"/>
              <w:rPr>
                <w:b/>
                <w:sz w:val="24"/>
                <w:szCs w:val="24"/>
                <w:lang w:val="en-US"/>
              </w:rPr>
            </w:pPr>
          </w:p>
          <w:p>
            <w:pPr>
              <w:pStyle w:val="25"/>
              <w:spacing w:before="182"/>
              <w:ind w:left="0"/>
              <w:rPr>
                <w:b/>
                <w:sz w:val="24"/>
                <w:szCs w:val="24"/>
              </w:rPr>
            </w:pPr>
            <w:r>
              <w:rPr>
                <w:b/>
                <w:sz w:val="24"/>
                <w:szCs w:val="24"/>
              </w:rPr>
              <w:t xml:space="preserve">     </w:t>
            </w:r>
            <w:r>
              <w:rPr>
                <w:b/>
                <w:color w:val="212121"/>
                <w:sz w:val="24"/>
                <w:szCs w:val="24"/>
                <w:lang w:val="en-US"/>
              </w:rPr>
              <w:t>IV.</w:t>
            </w:r>
          </w:p>
          <w:p>
            <w:pPr>
              <w:pStyle w:val="25"/>
              <w:spacing w:before="182"/>
              <w:ind w:left="0"/>
              <w:rPr>
                <w:b/>
                <w:sz w:val="24"/>
                <w:szCs w:val="24"/>
                <w:lang w:val="en-US"/>
              </w:rPr>
            </w:pPr>
            <w:r>
              <w:rPr>
                <w:b/>
                <w:sz w:val="24"/>
                <w:szCs w:val="24"/>
              </w:rPr>
              <w:t xml:space="preserve"> </w:t>
            </w:r>
            <w:r>
              <w:rPr>
                <w:b/>
                <w:color w:val="212121"/>
                <w:sz w:val="20"/>
                <w:szCs w:val="20"/>
                <w:lang w:val="en-US"/>
              </w:rPr>
              <w:t>Високий</w:t>
            </w:r>
          </w:p>
        </w:tc>
        <w:tc>
          <w:tcPr>
            <w:tcW w:w="8222"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ight="280"/>
              <w:jc w:val="both"/>
              <w:rPr>
                <w:lang w:val="en-US"/>
              </w:rPr>
            </w:pPr>
            <w:r>
              <w:rPr>
                <w:color w:val="212121"/>
                <w:lang w:val="en-US"/>
              </w:rPr>
              <w:t>Учні володіють системою понять у межах, визначених навчальними програмами, встановлюють як внутрішньопонятійні, так і міжпонятійні зв’язки; вміють розпізнавати об’єкти, які охоплюються засвоєними поняттями різного рівня узагальнення; відповідь аргументують новими прикладами</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gridAfter w:val="1"/>
          <w:wAfter w:w="20" w:type="dxa"/>
          <w:trHeight w:val="668" w:hRule="atLeast"/>
        </w:trPr>
        <w:tc>
          <w:tcPr>
            <w:tcW w:w="1134"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en-US"/>
              </w:rPr>
            </w:pPr>
          </w:p>
        </w:tc>
        <w:tc>
          <w:tcPr>
            <w:tcW w:w="8222"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301" w:right="284"/>
              <w:jc w:val="both"/>
              <w:rPr>
                <w:lang w:val="ru-RU"/>
              </w:rPr>
            </w:pPr>
            <w:r>
              <w:rPr>
                <w:color w:val="212121"/>
                <w:lang w:val="ru-RU"/>
              </w:rPr>
              <w:t>Учні мають гнучкі знання в межах вимог навчальних програм, вміють застосовувати способи діяльності за аналогією і в нових ситуаціях</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gridAfter w:val="1"/>
          <w:wAfter w:w="20" w:type="dxa"/>
          <w:trHeight w:val="618" w:hRule="atLeast"/>
        </w:trPr>
        <w:tc>
          <w:tcPr>
            <w:tcW w:w="1134"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sz w:val="24"/>
                <w:szCs w:val="24"/>
                <w:lang w:val="ru-RU"/>
              </w:rPr>
            </w:pPr>
          </w:p>
        </w:tc>
        <w:tc>
          <w:tcPr>
            <w:tcW w:w="8222" w:type="dxa"/>
            <w:tcBorders>
              <w:top w:val="single" w:color="DDDDDD" w:sz="6" w:space="0"/>
              <w:left w:val="single" w:color="DDDDDD" w:sz="6" w:space="0"/>
              <w:bottom w:val="single" w:color="DDDDDD" w:sz="6" w:space="0"/>
              <w:right w:val="single" w:color="DDDDDD" w:sz="6" w:space="0"/>
            </w:tcBorders>
          </w:tcPr>
          <w:p>
            <w:pPr>
              <w:pStyle w:val="25"/>
              <w:spacing w:before="75" w:line="276" w:lineRule="auto"/>
              <w:ind w:left="301" w:right="275"/>
              <w:rPr>
                <w:lang w:val="ru-RU"/>
              </w:rPr>
            </w:pPr>
            <w:r>
              <w:rPr>
                <w:color w:val="212121"/>
                <w:lang w:val="ru-RU"/>
              </w:rPr>
              <w:t xml:space="preserve">Учні мають системні, міцні знання в обсязі та в межах вимог навчальних програм, усвідомлено використовують їх у стандартних та нестандартних ситуаціях; самостійні роботи       </w:t>
            </w:r>
            <w:r>
              <w:rPr>
                <w:color w:val="212121"/>
                <w:spacing w:val="48"/>
                <w:lang w:val="ru-RU"/>
              </w:rPr>
              <w:t xml:space="preserve"> </w:t>
            </w:r>
            <w:r>
              <w:rPr>
                <w:color w:val="212121"/>
                <w:spacing w:val="-3"/>
                <w:lang w:val="ru-RU"/>
              </w:rPr>
              <w:t xml:space="preserve">виконують        </w:t>
            </w:r>
            <w:r>
              <w:rPr>
                <w:color w:val="212121"/>
                <w:spacing w:val="8"/>
                <w:lang w:val="ru-RU"/>
              </w:rPr>
              <w:t xml:space="preserve"> </w:t>
            </w:r>
            <w:r>
              <w:rPr>
                <w:color w:val="212121"/>
                <w:lang w:val="ru-RU"/>
              </w:rPr>
              <w:t>під</w:t>
            </w:r>
            <w:r>
              <w:rPr>
                <w:color w:val="212121"/>
                <w:lang w:val="ru-RU"/>
              </w:rPr>
              <w:tab/>
            </w:r>
            <w:r>
              <w:rPr>
                <w:color w:val="212121"/>
                <w:spacing w:val="-1"/>
                <w:lang w:val="ru-RU"/>
              </w:rPr>
              <w:t xml:space="preserve">опосередкованим </w:t>
            </w:r>
            <w:r>
              <w:rPr>
                <w:color w:val="212121"/>
                <w:lang w:val="ru-RU"/>
              </w:rPr>
              <w:t xml:space="preserve">керівництвом; </w:t>
            </w:r>
            <w:r>
              <w:rPr>
                <w:color w:val="212121"/>
                <w:spacing w:val="-3"/>
                <w:lang w:val="ru-RU"/>
              </w:rPr>
              <w:t xml:space="preserve">виконують </w:t>
            </w:r>
            <w:r>
              <w:rPr>
                <w:color w:val="212121"/>
                <w:lang w:val="ru-RU"/>
              </w:rPr>
              <w:t>творчі</w:t>
            </w:r>
            <w:r>
              <w:rPr>
                <w:color w:val="212121"/>
                <w:spacing w:val="-4"/>
                <w:lang w:val="ru-RU"/>
              </w:rPr>
              <w:t xml:space="preserve"> </w:t>
            </w:r>
            <w:r>
              <w:rPr>
                <w:color w:val="212121"/>
                <w:lang w:val="ru-RU"/>
              </w:rPr>
              <w:t>завдання</w:t>
            </w:r>
          </w:p>
        </w:tc>
      </w:tr>
    </w:tbl>
    <w:p>
      <w:pPr>
        <w:rPr>
          <w:rFonts w:ascii="Times New Roman" w:hAnsi="Times New Roman" w:cs="Times New Roman"/>
          <w:sz w:val="24"/>
          <w:szCs w:val="24"/>
        </w:rPr>
        <w:sectPr>
          <w:footerReference r:id="rId5" w:type="default"/>
          <w:pgSz w:w="11400" w:h="15840"/>
          <w:pgMar w:top="1160" w:right="460" w:bottom="280" w:left="880" w:header="718" w:footer="0" w:gutter="0"/>
          <w:cols w:space="720" w:num="1"/>
          <w:titlePg/>
          <w:docGrid w:linePitch="299" w:charSpace="0"/>
        </w:sectPr>
      </w:pPr>
    </w:p>
    <w:p>
      <w:pPr>
        <w:spacing w:after="0" w:line="432" w:lineRule="atLeast"/>
        <w:jc w:val="center"/>
        <w:rPr>
          <w:rFonts w:ascii="Times New Roman" w:hAnsi="Times New Roman" w:eastAsia="Times New Roman" w:cs="Times New Roman"/>
          <w:sz w:val="24"/>
          <w:szCs w:val="24"/>
          <w:lang w:val="uk-UA" w:eastAsia="ru-RU"/>
        </w:rPr>
      </w:pPr>
      <w:r>
        <w:rPr>
          <w:rFonts w:ascii="Times New Roman" w:hAnsi="Times New Roman" w:eastAsia="Times New Roman" w:cs="Times New Roman"/>
          <w:sz w:val="24"/>
          <w:szCs w:val="24"/>
          <w:lang w:val="uk-UA" w:eastAsia="ru-RU"/>
        </w:rPr>
        <w:t xml:space="preserve">                                                                                                                                 Додаток 2</w:t>
      </w:r>
    </w:p>
    <w:p>
      <w:pPr>
        <w:spacing w:before="2"/>
        <w:jc w:val="center"/>
        <w:rPr>
          <w:rFonts w:ascii="Times New Roman" w:hAnsi="Times New Roman" w:eastAsia="Times New Roman" w:cs="Times New Roman"/>
          <w:b/>
          <w:sz w:val="28"/>
          <w:szCs w:val="28"/>
          <w:lang w:val="uk-UA"/>
        </w:rPr>
      </w:pPr>
      <w:r>
        <w:rPr>
          <w:rFonts w:ascii="Times New Roman" w:hAnsi="Times New Roman" w:cs="Times New Roman"/>
          <w:b/>
          <w:color w:val="212121"/>
          <w:sz w:val="28"/>
          <w:szCs w:val="28"/>
          <w:u w:val="thick" w:color="212121"/>
        </w:rPr>
        <w:t>Критерії оцінювання навчальних досягнень</w:t>
      </w:r>
      <w:r>
        <w:rPr>
          <w:rFonts w:ascii="Times New Roman" w:hAnsi="Times New Roman" w:eastAsia="Times New Roman" w:cs="Times New Roman"/>
          <w:b/>
          <w:sz w:val="28"/>
          <w:szCs w:val="28"/>
          <w:lang w:val="uk-UA"/>
        </w:rPr>
        <w:t xml:space="preserve"> </w:t>
      </w:r>
      <w:r>
        <w:rPr>
          <w:rFonts w:ascii="Times New Roman" w:hAnsi="Times New Roman" w:cs="Times New Roman"/>
          <w:b/>
          <w:color w:val="212121"/>
          <w:sz w:val="28"/>
          <w:szCs w:val="28"/>
          <w:u w:val="thick" w:color="212121"/>
        </w:rPr>
        <w:t>учнів основної й старшої школи</w:t>
      </w:r>
    </w:p>
    <w:tbl>
      <w:tblPr>
        <w:tblStyle w:val="41"/>
        <w:tblW w:w="0" w:type="auto"/>
        <w:tblInd w:w="150" w:type="dxa"/>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Layout w:type="fixed"/>
        <w:tblCellMar>
          <w:top w:w="0" w:type="dxa"/>
          <w:left w:w="0" w:type="dxa"/>
          <w:bottom w:w="0" w:type="dxa"/>
          <w:right w:w="0" w:type="dxa"/>
        </w:tblCellMar>
      </w:tblPr>
      <w:tblGrid>
        <w:gridCol w:w="1559"/>
        <w:gridCol w:w="567"/>
        <w:gridCol w:w="7667"/>
      </w:tblGrid>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1106" w:hRule="atLeast"/>
        </w:trPr>
        <w:tc>
          <w:tcPr>
            <w:tcW w:w="1559" w:type="dxa"/>
            <w:tcBorders>
              <w:top w:val="single" w:color="DDDDDD" w:sz="6" w:space="0"/>
              <w:left w:val="single" w:color="DDDDDD" w:sz="6" w:space="0"/>
              <w:bottom w:val="single" w:color="DDDDDD" w:sz="6" w:space="0"/>
              <w:right w:val="single" w:color="DDDDDD" w:sz="6" w:space="0"/>
            </w:tcBorders>
          </w:tcPr>
          <w:p>
            <w:pPr>
              <w:pStyle w:val="25"/>
              <w:spacing w:line="240" w:lineRule="auto"/>
              <w:ind w:left="300" w:right="128"/>
              <w:rPr>
                <w:b/>
                <w:color w:val="212121"/>
                <w:sz w:val="24"/>
                <w:szCs w:val="24"/>
              </w:rPr>
            </w:pPr>
            <w:r>
              <w:rPr>
                <w:b/>
                <w:color w:val="212121"/>
                <w:sz w:val="24"/>
                <w:szCs w:val="24"/>
              </w:rPr>
              <w:t xml:space="preserve">   </w:t>
            </w:r>
            <w:r>
              <w:rPr>
                <w:b/>
                <w:color w:val="212121"/>
                <w:sz w:val="24"/>
                <w:szCs w:val="24"/>
                <w:lang w:val="en-US"/>
              </w:rPr>
              <w:t>Рівні</w:t>
            </w:r>
          </w:p>
          <w:p>
            <w:pPr>
              <w:pStyle w:val="25"/>
              <w:spacing w:line="240" w:lineRule="auto"/>
              <w:ind w:left="0" w:right="128"/>
              <w:jc w:val="right"/>
              <w:rPr>
                <w:b/>
                <w:color w:val="212121"/>
                <w:sz w:val="24"/>
                <w:szCs w:val="24"/>
              </w:rPr>
            </w:pPr>
            <w:r>
              <w:rPr>
                <w:b/>
                <w:color w:val="212121"/>
                <w:sz w:val="24"/>
                <w:szCs w:val="24"/>
                <w:lang w:val="en-US"/>
              </w:rPr>
              <w:t>навчальних</w:t>
            </w:r>
          </w:p>
          <w:p>
            <w:pPr>
              <w:pStyle w:val="25"/>
              <w:spacing w:line="240" w:lineRule="auto"/>
              <w:ind w:left="0"/>
              <w:rPr>
                <w:b/>
                <w:sz w:val="28"/>
                <w:szCs w:val="28"/>
                <w:lang w:val="en-US"/>
              </w:rPr>
            </w:pPr>
            <w:r>
              <w:rPr>
                <w:b/>
                <w:color w:val="212121"/>
                <w:sz w:val="24"/>
                <w:szCs w:val="24"/>
              </w:rPr>
              <w:t xml:space="preserve">    </w:t>
            </w:r>
            <w:r>
              <w:rPr>
                <w:b/>
                <w:color w:val="212121"/>
                <w:sz w:val="24"/>
                <w:szCs w:val="24"/>
                <w:lang w:val="en-US"/>
              </w:rPr>
              <w:t>досягнень</w:t>
            </w: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1" w:line="276" w:lineRule="auto"/>
              <w:ind w:left="0" w:right="284"/>
              <w:jc w:val="right"/>
              <w:rPr>
                <w:b/>
                <w:color w:val="212121"/>
                <w:sz w:val="24"/>
                <w:szCs w:val="24"/>
              </w:rPr>
            </w:pPr>
            <w:r>
              <w:rPr>
                <w:b/>
                <w:color w:val="212121"/>
                <w:sz w:val="24"/>
                <w:szCs w:val="24"/>
                <w:lang w:val="en-US"/>
              </w:rPr>
              <w:t>Б</w:t>
            </w:r>
            <w:r>
              <w:rPr>
                <w:b/>
                <w:color w:val="212121"/>
                <w:sz w:val="24"/>
                <w:szCs w:val="24"/>
              </w:rPr>
              <w:t>а</w:t>
            </w:r>
          </w:p>
          <w:p>
            <w:pPr>
              <w:pStyle w:val="25"/>
              <w:spacing w:before="1" w:line="276" w:lineRule="auto"/>
              <w:ind w:left="0" w:right="284"/>
              <w:jc w:val="right"/>
              <w:rPr>
                <w:b/>
                <w:color w:val="212121"/>
                <w:sz w:val="24"/>
                <w:szCs w:val="24"/>
              </w:rPr>
            </w:pPr>
            <w:r>
              <w:rPr>
                <w:b/>
                <w:color w:val="212121"/>
                <w:sz w:val="24"/>
                <w:szCs w:val="24"/>
              </w:rPr>
              <w:t>ли</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5"/>
              <w:jc w:val="center"/>
              <w:rPr>
                <w:b/>
                <w:sz w:val="28"/>
                <w:szCs w:val="28"/>
                <w:lang w:val="ru-RU"/>
              </w:rPr>
            </w:pPr>
          </w:p>
          <w:p>
            <w:pPr>
              <w:pStyle w:val="25"/>
              <w:tabs>
                <w:tab w:val="left" w:pos="1698"/>
                <w:tab w:val="left" w:pos="3045"/>
                <w:tab w:val="left" w:pos="4835"/>
              </w:tabs>
              <w:spacing w:before="1" w:line="276" w:lineRule="auto"/>
              <w:ind w:left="299" w:right="292"/>
              <w:jc w:val="center"/>
              <w:rPr>
                <w:b/>
                <w:sz w:val="28"/>
                <w:szCs w:val="28"/>
                <w:lang w:val="ru-RU"/>
              </w:rPr>
            </w:pPr>
            <w:r>
              <w:rPr>
                <w:b/>
                <w:color w:val="212121"/>
                <w:sz w:val="28"/>
                <w:szCs w:val="28"/>
                <w:lang w:val="ru-RU"/>
              </w:rPr>
              <w:t>Загальні</w:t>
            </w:r>
            <w:r>
              <w:rPr>
                <w:b/>
                <w:color w:val="212121"/>
                <w:sz w:val="28"/>
                <w:szCs w:val="28"/>
                <w:lang w:val="ru-RU"/>
              </w:rPr>
              <w:tab/>
            </w:r>
            <w:r>
              <w:rPr>
                <w:b/>
                <w:color w:val="212121"/>
                <w:sz w:val="28"/>
                <w:szCs w:val="28"/>
                <w:lang w:val="ru-RU"/>
              </w:rPr>
              <w:t>критерії</w:t>
            </w:r>
            <w:r>
              <w:rPr>
                <w:b/>
                <w:color w:val="212121"/>
                <w:sz w:val="28"/>
                <w:szCs w:val="28"/>
                <w:lang w:val="ru-RU"/>
              </w:rPr>
              <w:tab/>
            </w:r>
            <w:r>
              <w:rPr>
                <w:b/>
                <w:color w:val="212121"/>
                <w:sz w:val="28"/>
                <w:szCs w:val="28"/>
                <w:lang w:val="ru-RU"/>
              </w:rPr>
              <w:t>оцінювання</w:t>
            </w:r>
            <w:r>
              <w:rPr>
                <w:b/>
                <w:color w:val="212121"/>
                <w:sz w:val="28"/>
                <w:szCs w:val="28"/>
                <w:lang w:val="ru-RU"/>
              </w:rPr>
              <w:tab/>
            </w:r>
            <w:r>
              <w:rPr>
                <w:b/>
                <w:color w:val="212121"/>
                <w:spacing w:val="-4"/>
                <w:sz w:val="28"/>
                <w:szCs w:val="28"/>
                <w:lang w:val="ru-RU"/>
              </w:rPr>
              <w:t xml:space="preserve">навчальних </w:t>
            </w:r>
            <w:r>
              <w:rPr>
                <w:b/>
                <w:color w:val="212121"/>
                <w:sz w:val="28"/>
                <w:szCs w:val="28"/>
                <w:lang w:val="ru-RU"/>
              </w:rPr>
              <w:t>досягнень</w:t>
            </w:r>
            <w:r>
              <w:rPr>
                <w:b/>
                <w:color w:val="212121"/>
                <w:spacing w:val="-4"/>
                <w:sz w:val="28"/>
                <w:szCs w:val="28"/>
                <w:lang w:val="ru-RU"/>
              </w:rPr>
              <w:t xml:space="preserve"> </w:t>
            </w:r>
            <w:r>
              <w:rPr>
                <w:b/>
                <w:color w:val="212121"/>
                <w:sz w:val="28"/>
                <w:szCs w:val="28"/>
                <w:lang w:val="ru-RU"/>
              </w:rPr>
              <w:t>учнів</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264" w:hRule="atLeast"/>
        </w:trPr>
        <w:tc>
          <w:tcPr>
            <w:tcW w:w="1559" w:type="dxa"/>
            <w:vMerge w:val="restart"/>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rPr>
                <w:b/>
                <w:lang w:val="ru-RU"/>
              </w:rPr>
            </w:pPr>
          </w:p>
          <w:p>
            <w:pPr>
              <w:pStyle w:val="25"/>
              <w:spacing w:before="7"/>
              <w:rPr>
                <w:b/>
                <w:lang w:val="ru-RU"/>
              </w:rPr>
            </w:pPr>
          </w:p>
          <w:p>
            <w:pPr>
              <w:pStyle w:val="25"/>
              <w:spacing w:line="276" w:lineRule="auto"/>
              <w:ind w:left="300" w:right="128"/>
              <w:rPr>
                <w:b/>
                <w:color w:val="212121"/>
              </w:rPr>
            </w:pPr>
            <w:r>
              <w:rPr>
                <w:b/>
                <w:color w:val="212121"/>
                <w:lang w:val="en-US"/>
              </w:rPr>
              <w:t>I.</w:t>
            </w:r>
          </w:p>
          <w:p>
            <w:pPr>
              <w:pStyle w:val="25"/>
              <w:spacing w:line="276" w:lineRule="auto"/>
              <w:ind w:left="0" w:right="128"/>
              <w:rPr>
                <w:b/>
                <w:lang w:val="en-US"/>
              </w:rPr>
            </w:pPr>
            <w:r>
              <w:rPr>
                <w:b/>
                <w:color w:val="212121"/>
              </w:rPr>
              <w:t xml:space="preserve">  </w:t>
            </w:r>
            <w:r>
              <w:rPr>
                <w:b/>
                <w:color w:val="212121"/>
                <w:lang w:val="en-US"/>
              </w:rPr>
              <w:t>Початковий</w:t>
            </w: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76"/>
              <w:ind w:left="300"/>
              <w:rPr>
                <w:lang w:val="en-US"/>
              </w:rPr>
            </w:pPr>
            <w:r>
              <w:rPr>
                <w:color w:val="212121"/>
                <w:lang w:val="en-US"/>
              </w:rPr>
              <w:t>1</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76"/>
              <w:ind w:left="299"/>
              <w:rPr>
                <w:lang w:val="en-US"/>
              </w:rPr>
            </w:pPr>
            <w:r>
              <w:rPr>
                <w:color w:val="212121"/>
                <w:lang w:val="en-US"/>
              </w:rPr>
              <w:t>Учні розрізняють об’єкти вивчення</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604" w:hRule="atLeast"/>
        </w:trPr>
        <w:tc>
          <w:tcPr>
            <w:tcW w:w="1559"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lang w:val="en-US"/>
              </w:rPr>
            </w:pP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10"/>
              <w:rPr>
                <w:b/>
                <w:lang w:val="en-US"/>
              </w:rPr>
            </w:pPr>
          </w:p>
          <w:p>
            <w:pPr>
              <w:pStyle w:val="25"/>
              <w:ind w:left="300"/>
              <w:rPr>
                <w:lang w:val="en-US"/>
              </w:rPr>
            </w:pPr>
            <w:r>
              <w:rPr>
                <w:color w:val="212121"/>
                <w:lang w:val="en-US"/>
              </w:rPr>
              <w:t>2</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80" w:line="271" w:lineRule="auto"/>
              <w:ind w:left="299" w:right="284"/>
              <w:jc w:val="both"/>
              <w:rPr>
                <w:lang w:val="ru-RU"/>
              </w:rPr>
            </w:pPr>
            <w:r>
              <w:rPr>
                <w:color w:val="212121"/>
                <w:lang w:val="ru-RU"/>
              </w:rPr>
              <w:t>Учні відтворюють незначну частину навчального матеріалу, мають нечіткі уявлення про об’єкт вивчення</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662" w:hRule="atLeast"/>
        </w:trPr>
        <w:tc>
          <w:tcPr>
            <w:tcW w:w="1559"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lang w:val="ru-RU"/>
              </w:rPr>
            </w:pP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10"/>
              <w:rPr>
                <w:b/>
                <w:lang w:val="ru-RU"/>
              </w:rPr>
            </w:pPr>
          </w:p>
          <w:p>
            <w:pPr>
              <w:pStyle w:val="25"/>
              <w:ind w:left="300"/>
              <w:rPr>
                <w:lang w:val="en-US"/>
              </w:rPr>
            </w:pPr>
            <w:r>
              <w:rPr>
                <w:color w:val="212121"/>
                <w:lang w:val="en-US"/>
              </w:rPr>
              <w:t>3</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80" w:line="276" w:lineRule="auto"/>
              <w:ind w:left="299" w:right="280"/>
              <w:jc w:val="both"/>
              <w:rPr>
                <w:lang w:val="ru-RU"/>
              </w:rPr>
            </w:pPr>
            <w:r>
              <w:rPr>
                <w:color w:val="212121"/>
                <w:lang w:val="ru-RU"/>
              </w:rPr>
              <w:t xml:space="preserve">Учні відтворюють частину навчального матеріалу; з допомогою вчителя </w:t>
            </w:r>
            <w:r>
              <w:rPr>
                <w:color w:val="212121"/>
                <w:spacing w:val="-3"/>
                <w:lang w:val="ru-RU"/>
              </w:rPr>
              <w:t>виконують</w:t>
            </w:r>
            <w:r>
              <w:rPr>
                <w:color w:val="212121"/>
                <w:spacing w:val="59"/>
                <w:lang w:val="ru-RU"/>
              </w:rPr>
              <w:t xml:space="preserve"> </w:t>
            </w:r>
            <w:r>
              <w:rPr>
                <w:color w:val="212121"/>
                <w:lang w:val="ru-RU"/>
              </w:rPr>
              <w:t>елементарні завдання</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710" w:hRule="atLeast"/>
        </w:trPr>
        <w:tc>
          <w:tcPr>
            <w:tcW w:w="1559" w:type="dxa"/>
            <w:vMerge w:val="restart"/>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rPr>
                <w:b/>
                <w:lang w:val="ru-RU"/>
              </w:rPr>
            </w:pPr>
          </w:p>
          <w:p>
            <w:pPr>
              <w:pStyle w:val="25"/>
              <w:rPr>
                <w:b/>
                <w:lang w:val="ru-RU"/>
              </w:rPr>
            </w:pPr>
          </w:p>
          <w:p>
            <w:pPr>
              <w:pStyle w:val="25"/>
              <w:rPr>
                <w:b/>
                <w:lang w:val="ru-RU"/>
              </w:rPr>
            </w:pPr>
          </w:p>
          <w:p>
            <w:pPr>
              <w:pStyle w:val="25"/>
              <w:rPr>
                <w:b/>
                <w:lang w:val="ru-RU"/>
              </w:rPr>
            </w:pPr>
          </w:p>
          <w:p>
            <w:pPr>
              <w:pStyle w:val="25"/>
              <w:spacing w:before="182"/>
              <w:ind w:left="300"/>
              <w:rPr>
                <w:b/>
                <w:lang w:val="en-US"/>
              </w:rPr>
            </w:pPr>
            <w:r>
              <w:rPr>
                <w:b/>
                <w:color w:val="212121"/>
                <w:lang w:val="en-US"/>
              </w:rPr>
              <w:t>II.</w:t>
            </w:r>
          </w:p>
          <w:p>
            <w:pPr>
              <w:pStyle w:val="25"/>
              <w:spacing w:before="45"/>
              <w:ind w:left="300"/>
              <w:rPr>
                <w:b/>
                <w:lang w:val="en-US"/>
              </w:rPr>
            </w:pPr>
            <w:r>
              <w:rPr>
                <w:b/>
                <w:color w:val="212121"/>
                <w:lang w:val="en-US"/>
              </w:rPr>
              <w:t>Середній</w:t>
            </w: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9"/>
              <w:rPr>
                <w:b/>
                <w:lang w:val="en-US"/>
              </w:rPr>
            </w:pPr>
          </w:p>
          <w:p>
            <w:pPr>
              <w:pStyle w:val="25"/>
              <w:spacing w:before="1"/>
              <w:ind w:left="300"/>
              <w:rPr>
                <w:lang w:val="en-US"/>
              </w:rPr>
            </w:pPr>
            <w:r>
              <w:rPr>
                <w:color w:val="212121"/>
                <w:lang w:val="en-US"/>
              </w:rPr>
              <w:t>4</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299" w:right="285"/>
              <w:jc w:val="both"/>
              <w:rPr>
                <w:lang w:val="ru-RU"/>
              </w:rPr>
            </w:pPr>
            <w:r>
              <w:rPr>
                <w:color w:val="212121"/>
                <w:lang w:val="ru-RU"/>
              </w:rPr>
              <w:t>Учні з допомогою вчителя відтворюють основний навчальний матеріал, можуть повторити за зразком певну операцію, дію</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662" w:hRule="atLeast"/>
        </w:trPr>
        <w:tc>
          <w:tcPr>
            <w:tcW w:w="1559"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lang w:val="ru-RU"/>
              </w:rPr>
            </w:pP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10"/>
              <w:rPr>
                <w:b/>
                <w:lang w:val="ru-RU"/>
              </w:rPr>
            </w:pPr>
          </w:p>
          <w:p>
            <w:pPr>
              <w:pStyle w:val="25"/>
              <w:ind w:left="300"/>
              <w:rPr>
                <w:lang w:val="en-US"/>
              </w:rPr>
            </w:pPr>
            <w:r>
              <w:rPr>
                <w:color w:val="212121"/>
                <w:lang w:val="en-US"/>
              </w:rPr>
              <w:t>5</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80" w:line="276" w:lineRule="auto"/>
              <w:ind w:left="299" w:right="281"/>
              <w:jc w:val="both"/>
              <w:rPr>
                <w:lang w:val="ru-RU"/>
              </w:rPr>
            </w:pPr>
            <w:r>
              <w:rPr>
                <w:color w:val="212121"/>
                <w:lang w:val="ru-RU"/>
              </w:rPr>
              <w:t>Учні відтворюють основний навчальний матеріал, здатні з помилками й неточностями дати визначення понять, сформулювати правило</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841" w:hRule="atLeast"/>
        </w:trPr>
        <w:tc>
          <w:tcPr>
            <w:tcW w:w="1559"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lang w:val="ru-RU"/>
              </w:rPr>
            </w:pPr>
          </w:p>
        </w:tc>
        <w:tc>
          <w:tcPr>
            <w:tcW w:w="567" w:type="dxa"/>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spacing w:before="5"/>
              <w:rPr>
                <w:b/>
                <w:lang w:val="ru-RU"/>
              </w:rPr>
            </w:pPr>
          </w:p>
          <w:p>
            <w:pPr>
              <w:pStyle w:val="25"/>
              <w:ind w:left="300"/>
              <w:rPr>
                <w:lang w:val="en-US"/>
              </w:rPr>
            </w:pPr>
            <w:r>
              <w:rPr>
                <w:color w:val="212121"/>
                <w:lang w:val="en-US"/>
              </w:rPr>
              <w:t>6</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76" w:line="276" w:lineRule="auto"/>
              <w:ind w:left="299" w:right="283"/>
              <w:jc w:val="both"/>
              <w:rPr>
                <w:lang w:val="ru-RU"/>
              </w:rPr>
            </w:pPr>
            <w:r>
              <w:rPr>
                <w:color w:val="212121"/>
                <w:lang w:val="ru-RU"/>
              </w:rPr>
              <w:t>Учні виявляють знання й розуміння основних положень навчального матеріалу. Відповіді їх правильні, але недостатньо осмислені. Вміють застосовувати знання при виконанні завдань за зразком</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870" w:hRule="atLeast"/>
        </w:trPr>
        <w:tc>
          <w:tcPr>
            <w:tcW w:w="1559" w:type="dxa"/>
            <w:vMerge w:val="restart"/>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rPr>
                <w:b/>
                <w:lang w:val="ru-RU"/>
              </w:rPr>
            </w:pPr>
          </w:p>
          <w:p>
            <w:pPr>
              <w:pStyle w:val="25"/>
              <w:spacing w:before="8"/>
              <w:rPr>
                <w:b/>
                <w:lang w:val="ru-RU"/>
              </w:rPr>
            </w:pPr>
          </w:p>
          <w:p>
            <w:pPr>
              <w:pStyle w:val="25"/>
              <w:spacing w:line="276" w:lineRule="auto"/>
              <w:ind w:left="300" w:right="128"/>
              <w:rPr>
                <w:b/>
                <w:color w:val="212121"/>
              </w:rPr>
            </w:pPr>
            <w:r>
              <w:rPr>
                <w:b/>
                <w:color w:val="212121"/>
                <w:lang w:val="en-US"/>
              </w:rPr>
              <w:t>III.</w:t>
            </w:r>
          </w:p>
          <w:p>
            <w:pPr>
              <w:pStyle w:val="25"/>
              <w:spacing w:line="276" w:lineRule="auto"/>
              <w:ind w:left="300" w:right="128"/>
              <w:rPr>
                <w:b/>
                <w:lang w:val="en-US"/>
              </w:rPr>
            </w:pPr>
            <w:r>
              <w:rPr>
                <w:b/>
                <w:color w:val="212121"/>
                <w:lang w:val="en-US"/>
              </w:rPr>
              <w:t>Достатній</w:t>
            </w:r>
          </w:p>
        </w:tc>
        <w:tc>
          <w:tcPr>
            <w:tcW w:w="567" w:type="dxa"/>
            <w:tcBorders>
              <w:top w:val="single" w:color="DDDDDD" w:sz="6" w:space="0"/>
              <w:left w:val="single" w:color="DDDDDD" w:sz="6" w:space="0"/>
              <w:bottom w:val="single" w:color="DDDDDD" w:sz="6" w:space="0"/>
              <w:right w:val="single" w:color="DDDDDD" w:sz="6" w:space="0"/>
            </w:tcBorders>
          </w:tcPr>
          <w:p>
            <w:pPr>
              <w:pStyle w:val="25"/>
              <w:rPr>
                <w:b/>
                <w:lang w:val="en-US"/>
              </w:rPr>
            </w:pPr>
          </w:p>
          <w:p>
            <w:pPr>
              <w:pStyle w:val="25"/>
              <w:spacing w:before="4"/>
              <w:rPr>
                <w:b/>
                <w:lang w:val="en-US"/>
              </w:rPr>
            </w:pPr>
          </w:p>
          <w:p>
            <w:pPr>
              <w:pStyle w:val="25"/>
              <w:spacing w:before="1"/>
              <w:ind w:left="300"/>
              <w:rPr>
                <w:lang w:val="en-US"/>
              </w:rPr>
            </w:pPr>
            <w:r>
              <w:rPr>
                <w:color w:val="212121"/>
                <w:lang w:val="en-US"/>
              </w:rPr>
              <w:t>7</w:t>
            </w:r>
          </w:p>
        </w:tc>
        <w:tc>
          <w:tcPr>
            <w:tcW w:w="7667" w:type="dxa"/>
            <w:tcBorders>
              <w:top w:val="single" w:color="DDDDDD" w:sz="6" w:space="0"/>
              <w:left w:val="single" w:color="DDDDDD" w:sz="6" w:space="0"/>
              <w:bottom w:val="single" w:color="DDDDDD" w:sz="6" w:space="0"/>
              <w:right w:val="single" w:color="DDDDDD" w:sz="6" w:space="0"/>
            </w:tcBorders>
          </w:tcPr>
          <w:p>
            <w:pPr>
              <w:pStyle w:val="25"/>
              <w:spacing w:before="75" w:line="276" w:lineRule="auto"/>
              <w:ind w:left="299" w:right="281"/>
              <w:jc w:val="both"/>
              <w:rPr>
                <w:lang w:val="en-US"/>
              </w:rPr>
            </w:pPr>
            <w:r>
              <w:rPr>
                <w:color w:val="212121"/>
                <w:lang w:val="en-US"/>
              </w:rPr>
              <w:t>Учні правильно відтворюють навчальний матеріал, знають основоположні теорії і факти, вміють наводити окремі власні приклади на підтвердження певних думок, частково контролюють власні навчальні дії</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836" w:hRule="atLeast"/>
        </w:trPr>
        <w:tc>
          <w:tcPr>
            <w:tcW w:w="1559"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lang w:val="en-US"/>
              </w:rPr>
            </w:pP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247"/>
              <w:ind w:left="300"/>
              <w:rPr>
                <w:lang w:val="en-US"/>
              </w:rPr>
            </w:pPr>
            <w:r>
              <w:rPr>
                <w:color w:val="212121"/>
                <w:lang w:val="en-US"/>
              </w:rPr>
              <w:t>8</w:t>
            </w:r>
          </w:p>
        </w:tc>
        <w:tc>
          <w:tcPr>
            <w:tcW w:w="7667" w:type="dxa"/>
            <w:tcBorders>
              <w:top w:val="single" w:color="DDDDDD" w:sz="6" w:space="0"/>
              <w:left w:val="single" w:color="DDDDDD" w:sz="6" w:space="0"/>
              <w:bottom w:val="single" w:color="DDDDDD" w:sz="6" w:space="0"/>
              <w:right w:val="single" w:color="DDDDDD" w:sz="6" w:space="0"/>
            </w:tcBorders>
          </w:tcPr>
          <w:p>
            <w:pPr>
              <w:pStyle w:val="25"/>
              <w:tabs>
                <w:tab w:val="left" w:pos="1310"/>
                <w:tab w:val="left" w:pos="1665"/>
                <w:tab w:val="left" w:pos="2131"/>
                <w:tab w:val="left" w:pos="2466"/>
                <w:tab w:val="left" w:pos="2941"/>
                <w:tab w:val="left" w:pos="3400"/>
                <w:tab w:val="left" w:pos="3995"/>
                <w:tab w:val="left" w:pos="4748"/>
                <w:tab w:val="left" w:pos="5111"/>
              </w:tabs>
              <w:spacing w:before="75" w:line="276" w:lineRule="auto"/>
              <w:ind w:left="299" w:right="282"/>
              <w:rPr>
                <w:lang w:val="ru-RU"/>
              </w:rPr>
            </w:pPr>
            <w:r>
              <w:rPr>
                <w:color w:val="212121"/>
                <w:lang w:val="ru-RU"/>
              </w:rPr>
              <w:t>Знання</w:t>
            </w:r>
            <w:r>
              <w:rPr>
                <w:color w:val="212121"/>
                <w:lang w:val="en-US"/>
              </w:rPr>
              <w:tab/>
            </w:r>
            <w:r>
              <w:rPr>
                <w:color w:val="212121"/>
                <w:lang w:val="ru-RU"/>
              </w:rPr>
              <w:t>учнів</w:t>
            </w:r>
            <w:r>
              <w:rPr>
                <w:color w:val="212121"/>
                <w:lang w:val="en-US"/>
              </w:rPr>
              <w:tab/>
            </w:r>
            <w:r>
              <w:rPr>
                <w:color w:val="212121"/>
                <w:lang w:val="ru-RU"/>
              </w:rPr>
              <w:t>є</w:t>
            </w:r>
            <w:r>
              <w:rPr>
                <w:color w:val="212121"/>
                <w:lang w:val="en-US"/>
              </w:rPr>
              <w:tab/>
            </w:r>
            <w:r>
              <w:rPr>
                <w:color w:val="212121"/>
                <w:lang w:val="ru-RU"/>
              </w:rPr>
              <w:t>достатніми</w:t>
            </w:r>
            <w:r>
              <w:rPr>
                <w:color w:val="212121"/>
                <w:lang w:val="en-US"/>
              </w:rPr>
              <w:t>.</w:t>
            </w:r>
            <w:r>
              <w:rPr>
                <w:color w:val="212121"/>
                <w:lang w:val="en-US"/>
              </w:rPr>
              <w:tab/>
            </w:r>
            <w:r>
              <w:rPr>
                <w:color w:val="212121"/>
                <w:lang w:val="ru-RU"/>
              </w:rPr>
              <w:t>Учні</w:t>
            </w:r>
            <w:r>
              <w:rPr>
                <w:color w:val="212121"/>
                <w:lang w:val="en-US"/>
              </w:rPr>
              <w:tab/>
            </w:r>
            <w:r>
              <w:rPr>
                <w:color w:val="212121"/>
                <w:spacing w:val="-1"/>
                <w:lang w:val="ru-RU"/>
              </w:rPr>
              <w:t>застосовують</w:t>
            </w:r>
            <w:r>
              <w:rPr>
                <w:color w:val="212121"/>
                <w:spacing w:val="-1"/>
                <w:lang w:val="en-US"/>
              </w:rPr>
              <w:t xml:space="preserve"> </w:t>
            </w:r>
            <w:r>
              <w:rPr>
                <w:color w:val="212121"/>
                <w:lang w:val="ru-RU"/>
              </w:rPr>
              <w:t>вивчений</w:t>
            </w:r>
            <w:r>
              <w:rPr>
                <w:color w:val="212121"/>
                <w:lang w:val="en-US"/>
              </w:rPr>
              <w:t xml:space="preserve"> </w:t>
            </w:r>
            <w:r>
              <w:rPr>
                <w:color w:val="212121"/>
                <w:lang w:val="ru-RU"/>
              </w:rPr>
              <w:t>матеріал</w:t>
            </w:r>
            <w:r>
              <w:rPr>
                <w:color w:val="212121"/>
                <w:lang w:val="en-US"/>
              </w:rPr>
              <w:tab/>
            </w:r>
            <w:r>
              <w:rPr>
                <w:color w:val="212121"/>
                <w:lang w:val="ru-RU"/>
              </w:rPr>
              <w:t>у</w:t>
            </w:r>
            <w:r>
              <w:rPr>
                <w:color w:val="212121"/>
                <w:lang w:val="en-US"/>
              </w:rPr>
              <w:tab/>
            </w:r>
            <w:r>
              <w:rPr>
                <w:color w:val="212121"/>
                <w:lang w:val="ru-RU"/>
              </w:rPr>
              <w:t>стандартних</w:t>
            </w:r>
            <w:r>
              <w:rPr>
                <w:color w:val="212121"/>
                <w:lang w:val="en-US"/>
              </w:rPr>
              <w:tab/>
            </w:r>
            <w:r>
              <w:rPr>
                <w:color w:val="212121"/>
                <w:spacing w:val="-4"/>
                <w:lang w:val="ru-RU"/>
              </w:rPr>
              <w:t>ситуаціях</w:t>
            </w:r>
            <w:r>
              <w:rPr>
                <w:color w:val="212121"/>
                <w:spacing w:val="-4"/>
                <w:lang w:val="en-US"/>
              </w:rPr>
              <w:t xml:space="preserve">, </w:t>
            </w:r>
            <w:r>
              <w:rPr>
                <w:color w:val="212121"/>
                <w:lang w:val="ru-RU"/>
              </w:rPr>
              <w:t>намагаються</w:t>
            </w:r>
            <w:r>
              <w:rPr>
                <w:color w:val="212121"/>
                <w:lang w:val="en-US"/>
              </w:rPr>
              <w:t xml:space="preserve"> </w:t>
            </w:r>
            <w:r>
              <w:rPr>
                <w:color w:val="212121"/>
                <w:lang w:val="ru-RU"/>
              </w:rPr>
              <w:t>аналізувати</w:t>
            </w:r>
            <w:r>
              <w:rPr>
                <w:color w:val="212121"/>
                <w:lang w:val="en-US"/>
              </w:rPr>
              <w:t xml:space="preserve">, </w:t>
            </w:r>
            <w:r>
              <w:rPr>
                <w:color w:val="212121"/>
                <w:spacing w:val="-1"/>
                <w:lang w:val="ru-RU"/>
              </w:rPr>
              <w:t>встановлювати</w:t>
            </w:r>
            <w:r>
              <w:rPr>
                <w:color w:val="212121"/>
                <w:spacing w:val="-1"/>
                <w:lang w:val="en-US"/>
              </w:rPr>
              <w:t xml:space="preserve"> </w:t>
            </w:r>
            <w:r>
              <w:rPr>
                <w:color w:val="212121"/>
                <w:lang w:val="ru-RU"/>
              </w:rPr>
              <w:t>найсуттєвіші</w:t>
            </w:r>
            <w:r>
              <w:rPr>
                <w:color w:val="212121"/>
                <w:lang w:val="en-US"/>
              </w:rPr>
              <w:t xml:space="preserve"> </w:t>
            </w:r>
            <w:r>
              <w:rPr>
                <w:color w:val="212121"/>
                <w:lang w:val="ru-RU"/>
              </w:rPr>
              <w:t>зв</w:t>
            </w:r>
            <w:r>
              <w:rPr>
                <w:color w:val="212121"/>
                <w:lang w:val="en-US"/>
              </w:rPr>
              <w:t>’</w:t>
            </w:r>
            <w:r>
              <w:rPr>
                <w:color w:val="212121"/>
                <w:lang w:val="ru-RU"/>
              </w:rPr>
              <w:t>язки</w:t>
            </w:r>
            <w:r>
              <w:rPr>
                <w:color w:val="212121"/>
                <w:lang w:val="en-US"/>
              </w:rPr>
              <w:t xml:space="preserve"> </w:t>
            </w:r>
            <w:r>
              <w:rPr>
                <w:color w:val="212121"/>
                <w:lang w:val="ru-RU"/>
              </w:rPr>
              <w:t>і</w:t>
            </w:r>
            <w:r>
              <w:rPr>
                <w:color w:val="212121"/>
                <w:lang w:val="en-US"/>
              </w:rPr>
              <w:t xml:space="preserve"> </w:t>
            </w:r>
            <w:r>
              <w:rPr>
                <w:color w:val="212121"/>
                <w:lang w:val="ru-RU"/>
              </w:rPr>
              <w:t>залежність</w:t>
            </w:r>
            <w:r>
              <w:rPr>
                <w:color w:val="212121"/>
                <w:lang w:val="en-US"/>
              </w:rPr>
              <w:t xml:space="preserve"> </w:t>
            </w:r>
            <w:r>
              <w:rPr>
                <w:color w:val="212121"/>
                <w:lang w:val="ru-RU"/>
              </w:rPr>
              <w:t>між</w:t>
            </w:r>
            <w:r>
              <w:rPr>
                <w:color w:val="212121"/>
                <w:lang w:val="en-US"/>
              </w:rPr>
              <w:t xml:space="preserve"> </w:t>
            </w:r>
            <w:r>
              <w:rPr>
                <w:color w:val="212121"/>
                <w:lang w:val="ru-RU"/>
              </w:rPr>
              <w:t>явищами</w:t>
            </w:r>
            <w:r>
              <w:rPr>
                <w:color w:val="212121"/>
                <w:lang w:val="en-US"/>
              </w:rPr>
              <w:t xml:space="preserve">, </w:t>
            </w:r>
            <w:r>
              <w:rPr>
                <w:color w:val="212121"/>
                <w:lang w:val="ru-RU"/>
              </w:rPr>
              <w:t>фактами</w:t>
            </w:r>
            <w:r>
              <w:rPr>
                <w:color w:val="212121"/>
                <w:lang w:val="en-US"/>
              </w:rPr>
              <w:t xml:space="preserve">, </w:t>
            </w:r>
            <w:r>
              <w:rPr>
                <w:color w:val="212121"/>
                <w:lang w:val="ru-RU"/>
              </w:rPr>
              <w:t>робити</w:t>
            </w:r>
            <w:r>
              <w:rPr>
                <w:color w:val="212121"/>
                <w:lang w:val="en-US"/>
              </w:rPr>
              <w:t xml:space="preserve"> </w:t>
            </w:r>
            <w:r>
              <w:rPr>
                <w:color w:val="212121"/>
                <w:lang w:val="ru-RU"/>
              </w:rPr>
              <w:t>висновки</w:t>
            </w:r>
            <w:r>
              <w:rPr>
                <w:color w:val="212121"/>
                <w:lang w:val="en-US"/>
              </w:rPr>
              <w:t xml:space="preserve">, </w:t>
            </w:r>
            <w:r>
              <w:rPr>
                <w:color w:val="212121"/>
                <w:lang w:val="ru-RU"/>
              </w:rPr>
              <w:t>загалом</w:t>
            </w:r>
            <w:r>
              <w:rPr>
                <w:color w:val="212121"/>
                <w:lang w:val="en-US"/>
              </w:rPr>
              <w:t xml:space="preserve"> </w:t>
            </w:r>
            <w:r>
              <w:rPr>
                <w:color w:val="212121"/>
                <w:spacing w:val="-3"/>
                <w:lang w:val="ru-RU"/>
              </w:rPr>
              <w:t>контролюють</w:t>
            </w:r>
            <w:r>
              <w:rPr>
                <w:color w:val="212121"/>
                <w:spacing w:val="-3"/>
                <w:lang w:val="en-US"/>
              </w:rPr>
              <w:t xml:space="preserve"> </w:t>
            </w:r>
            <w:r>
              <w:rPr>
                <w:color w:val="212121"/>
                <w:lang w:val="ru-RU"/>
              </w:rPr>
              <w:t>власну</w:t>
            </w:r>
            <w:r>
              <w:rPr>
                <w:color w:val="212121"/>
                <w:lang w:val="en-US"/>
              </w:rPr>
              <w:t xml:space="preserve"> </w:t>
            </w:r>
            <w:r>
              <w:rPr>
                <w:color w:val="212121"/>
                <w:lang w:val="ru-RU"/>
              </w:rPr>
              <w:t>діяльність</w:t>
            </w:r>
            <w:r>
              <w:rPr>
                <w:color w:val="212121"/>
                <w:lang w:val="en-US"/>
              </w:rPr>
              <w:t xml:space="preserve">. </w:t>
            </w:r>
            <w:r>
              <w:rPr>
                <w:color w:val="212121"/>
                <w:lang w:val="ru-RU"/>
              </w:rPr>
              <w:t xml:space="preserve">Відповіді їх логічні, </w:t>
            </w:r>
            <w:r>
              <w:rPr>
                <w:color w:val="212121"/>
                <w:spacing w:val="-6"/>
                <w:lang w:val="ru-RU"/>
              </w:rPr>
              <w:t xml:space="preserve">хоч </w:t>
            </w:r>
            <w:r>
              <w:rPr>
                <w:color w:val="212121"/>
                <w:lang w:val="ru-RU"/>
              </w:rPr>
              <w:t>і мають неточності</w:t>
            </w:r>
          </w:p>
        </w:tc>
      </w:tr>
    </w:tbl>
    <w:p>
      <w:pPr>
        <w:jc w:val="center"/>
        <w:rPr>
          <w:rFonts w:ascii="Times New Roman" w:hAnsi="Times New Roman" w:cs="Times New Roman"/>
          <w:lang w:val="uk-UA"/>
        </w:rPr>
      </w:pPr>
    </w:p>
    <w:tbl>
      <w:tblPr>
        <w:tblStyle w:val="41"/>
        <w:tblW w:w="9781" w:type="dxa"/>
        <w:tblInd w:w="150" w:type="dxa"/>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Layout w:type="fixed"/>
        <w:tblCellMar>
          <w:top w:w="0" w:type="dxa"/>
          <w:left w:w="0" w:type="dxa"/>
          <w:bottom w:w="0" w:type="dxa"/>
          <w:right w:w="0" w:type="dxa"/>
        </w:tblCellMar>
      </w:tblPr>
      <w:tblGrid>
        <w:gridCol w:w="1559"/>
        <w:gridCol w:w="567"/>
        <w:gridCol w:w="7655"/>
      </w:tblGrid>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PrEx>
        <w:trPr>
          <w:trHeight w:val="1100" w:hRule="atLeast"/>
        </w:trPr>
        <w:tc>
          <w:tcPr>
            <w:tcW w:w="1559" w:type="dxa"/>
            <w:vMerge w:val="restart"/>
            <w:tcBorders>
              <w:top w:val="single" w:color="DDDDDD" w:sz="6" w:space="0"/>
              <w:left w:val="single" w:color="DDDDDD" w:sz="6" w:space="0"/>
              <w:bottom w:val="single" w:color="DDDDDD" w:sz="6" w:space="0"/>
              <w:right w:val="single" w:color="DDDDDD" w:sz="6" w:space="0"/>
            </w:tcBorders>
          </w:tcPr>
          <w:p>
            <w:pPr>
              <w:pStyle w:val="25"/>
              <w:rPr>
                <w:lang w:val="ru-RU"/>
              </w:rPr>
            </w:pPr>
          </w:p>
        </w:tc>
        <w:tc>
          <w:tcPr>
            <w:tcW w:w="567" w:type="dxa"/>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spacing w:before="4"/>
              <w:rPr>
                <w:b/>
                <w:lang w:val="ru-RU"/>
              </w:rPr>
            </w:pPr>
          </w:p>
          <w:p>
            <w:pPr>
              <w:pStyle w:val="25"/>
              <w:spacing w:before="1"/>
              <w:ind w:left="300"/>
              <w:rPr>
                <w:lang w:val="en-US"/>
              </w:rPr>
            </w:pPr>
            <w:r>
              <w:rPr>
                <w:color w:val="212121"/>
                <w:lang w:val="en-US"/>
              </w:rPr>
              <w:t>9</w:t>
            </w:r>
          </w:p>
        </w:tc>
        <w:tc>
          <w:tcPr>
            <w:tcW w:w="7655"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299" w:right="283"/>
              <w:jc w:val="both"/>
              <w:rPr>
                <w:lang w:val="en-US"/>
              </w:rPr>
            </w:pPr>
            <w:r>
              <w:rPr>
                <w:color w:val="212121"/>
                <w:lang w:val="en-US"/>
              </w:rPr>
              <w:t>Учні добре володіють вивченим матеріалом, застосовують знання в стандартних ситуаціях, уміють аналізувати й систематизувати інформацію, використовують загальновідомі докази із самостійною і правильною аргументацією</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673" w:hRule="atLeast"/>
        </w:trPr>
        <w:tc>
          <w:tcPr>
            <w:tcW w:w="1559"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lang w:val="en-US"/>
              </w:rPr>
            </w:pPr>
          </w:p>
        </w:tc>
        <w:tc>
          <w:tcPr>
            <w:tcW w:w="567" w:type="dxa"/>
            <w:tcBorders>
              <w:top w:val="single" w:color="DDDDDD" w:sz="6" w:space="0"/>
              <w:left w:val="single" w:color="DDDDDD" w:sz="6" w:space="0"/>
              <w:bottom w:val="single" w:color="DDDDDD" w:sz="6" w:space="0"/>
              <w:right w:val="single" w:color="DDDDDD" w:sz="6" w:space="0"/>
            </w:tcBorders>
          </w:tcPr>
          <w:p>
            <w:pPr>
              <w:pStyle w:val="25"/>
              <w:spacing w:before="10"/>
              <w:rPr>
                <w:b/>
                <w:lang w:val="en-US"/>
              </w:rPr>
            </w:pPr>
          </w:p>
          <w:p>
            <w:pPr>
              <w:pStyle w:val="25"/>
              <w:ind w:left="300"/>
              <w:rPr>
                <w:lang w:val="en-US"/>
              </w:rPr>
            </w:pPr>
            <w:r>
              <w:rPr>
                <w:color w:val="212121"/>
                <w:lang w:val="en-US"/>
              </w:rPr>
              <w:t>10</w:t>
            </w:r>
          </w:p>
        </w:tc>
        <w:tc>
          <w:tcPr>
            <w:tcW w:w="7655" w:type="dxa"/>
            <w:tcBorders>
              <w:top w:val="single" w:color="DDDDDD" w:sz="6" w:space="0"/>
              <w:left w:val="single" w:color="DDDDDD" w:sz="6" w:space="0"/>
              <w:bottom w:val="single" w:color="DDDDDD" w:sz="6" w:space="0"/>
              <w:right w:val="single" w:color="DDDDDD" w:sz="6" w:space="0"/>
            </w:tcBorders>
          </w:tcPr>
          <w:p>
            <w:pPr>
              <w:pStyle w:val="25"/>
              <w:spacing w:before="80" w:line="271" w:lineRule="auto"/>
              <w:ind w:left="299" w:right="282"/>
              <w:jc w:val="both"/>
              <w:rPr>
                <w:lang w:val="ru-RU"/>
              </w:rPr>
            </w:pPr>
            <w:r>
              <w:rPr>
                <w:color w:val="212121"/>
                <w:lang w:val="ru-RU"/>
              </w:rPr>
              <w:t>Учні мають повні, глибокі знання, здатні використовувати їх у практичній діяльності, робити висновки, узагальнення</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1143" w:hRule="atLeast"/>
        </w:trPr>
        <w:tc>
          <w:tcPr>
            <w:tcW w:w="1559" w:type="dxa"/>
            <w:vMerge w:val="restart"/>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rPr>
                <w:b/>
                <w:lang w:val="ru-RU"/>
              </w:rPr>
            </w:pPr>
          </w:p>
          <w:p>
            <w:pPr>
              <w:pStyle w:val="25"/>
              <w:rPr>
                <w:b/>
                <w:lang w:val="ru-RU"/>
              </w:rPr>
            </w:pPr>
          </w:p>
          <w:p>
            <w:pPr>
              <w:pStyle w:val="25"/>
              <w:rPr>
                <w:b/>
                <w:lang w:val="ru-RU"/>
              </w:rPr>
            </w:pPr>
          </w:p>
          <w:p>
            <w:pPr>
              <w:pStyle w:val="25"/>
              <w:spacing w:before="8"/>
              <w:ind w:left="0"/>
              <w:rPr>
                <w:b/>
              </w:rPr>
            </w:pPr>
          </w:p>
          <w:p>
            <w:pPr>
              <w:pStyle w:val="25"/>
              <w:ind w:left="300"/>
              <w:rPr>
                <w:b/>
                <w:lang w:val="en-US"/>
              </w:rPr>
            </w:pPr>
            <w:r>
              <w:rPr>
                <w:b/>
                <w:color w:val="212121"/>
                <w:lang w:val="en-US"/>
              </w:rPr>
              <w:t>IV.</w:t>
            </w:r>
          </w:p>
          <w:p>
            <w:pPr>
              <w:pStyle w:val="25"/>
              <w:spacing w:before="41"/>
              <w:ind w:left="300"/>
              <w:rPr>
                <w:b/>
                <w:lang w:val="en-US"/>
              </w:rPr>
            </w:pPr>
            <w:r>
              <w:rPr>
                <w:b/>
                <w:color w:val="212121"/>
                <w:lang w:val="en-US"/>
              </w:rPr>
              <w:t>Високий</w:t>
            </w:r>
          </w:p>
        </w:tc>
        <w:tc>
          <w:tcPr>
            <w:tcW w:w="567" w:type="dxa"/>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spacing w:before="9"/>
              <w:rPr>
                <w:b/>
                <w:lang w:val="ru-RU"/>
              </w:rPr>
            </w:pPr>
          </w:p>
          <w:p>
            <w:pPr>
              <w:pStyle w:val="25"/>
              <w:spacing w:before="1"/>
              <w:ind w:left="300"/>
              <w:rPr>
                <w:lang w:val="en-US"/>
              </w:rPr>
            </w:pPr>
            <w:r>
              <w:rPr>
                <w:color w:val="212121"/>
                <w:lang w:val="en-US"/>
              </w:rPr>
              <w:t>11</w:t>
            </w:r>
          </w:p>
        </w:tc>
        <w:tc>
          <w:tcPr>
            <w:tcW w:w="7655" w:type="dxa"/>
            <w:tcBorders>
              <w:top w:val="single" w:color="DDDDDD" w:sz="6" w:space="0"/>
              <w:left w:val="single" w:color="DDDDDD" w:sz="6" w:space="0"/>
              <w:bottom w:val="single" w:color="DDDDDD" w:sz="6" w:space="0"/>
              <w:right w:val="single" w:color="DDDDDD" w:sz="6" w:space="0"/>
            </w:tcBorders>
          </w:tcPr>
          <w:p>
            <w:pPr>
              <w:pStyle w:val="25"/>
              <w:spacing w:before="80" w:line="276" w:lineRule="auto"/>
              <w:ind w:left="299" w:right="281"/>
              <w:jc w:val="both"/>
              <w:rPr>
                <w:lang w:val="ru-RU"/>
              </w:rPr>
            </w:pPr>
            <w:r>
              <w:rPr>
                <w:color w:val="212121"/>
                <w:lang w:val="ru-RU"/>
              </w:rPr>
              <w:t>Учні мають гнучкі знання в межах вимог навчальних програм, аргументовано використовують їх у різних ситуаціях, уміють знаходити інформацію та аналізувати її, ставити і розв’язувати проблеми</w:t>
            </w:r>
          </w:p>
        </w:tc>
      </w:tr>
      <w:tr>
        <w:tblPrEx>
          <w:tblBorders>
            <w:top w:val="single" w:color="DDDDDD" w:sz="6" w:space="0"/>
            <w:left w:val="single" w:color="DDDDDD" w:sz="6" w:space="0"/>
            <w:bottom w:val="single" w:color="DDDDDD" w:sz="6" w:space="0"/>
            <w:right w:val="single" w:color="DDDDDD" w:sz="6" w:space="0"/>
            <w:insideH w:val="single" w:color="DDDDDD" w:sz="6" w:space="0"/>
            <w:insideV w:val="single" w:color="DDDDDD" w:sz="6" w:space="0"/>
          </w:tblBorders>
          <w:tblCellMar>
            <w:top w:w="0" w:type="dxa"/>
            <w:left w:w="0" w:type="dxa"/>
            <w:bottom w:w="0" w:type="dxa"/>
            <w:right w:w="0" w:type="dxa"/>
          </w:tblCellMar>
        </w:tblPrEx>
        <w:trPr>
          <w:trHeight w:val="1257" w:hRule="atLeast"/>
        </w:trPr>
        <w:tc>
          <w:tcPr>
            <w:tcW w:w="1559" w:type="dxa"/>
            <w:vMerge w:val="continue"/>
            <w:tcBorders>
              <w:top w:val="single" w:color="DDDDDD" w:sz="6" w:space="0"/>
              <w:left w:val="single" w:color="DDDDDD" w:sz="6" w:space="0"/>
              <w:bottom w:val="single" w:color="DDDDDD" w:sz="6" w:space="0"/>
              <w:right w:val="single" w:color="DDDDDD" w:sz="6" w:space="0"/>
            </w:tcBorders>
            <w:vAlign w:val="center"/>
          </w:tcPr>
          <w:p>
            <w:pPr>
              <w:widowControl w:val="0"/>
              <w:autoSpaceDE w:val="0"/>
              <w:autoSpaceDN w:val="0"/>
              <w:rPr>
                <w:rFonts w:ascii="Times New Roman" w:hAnsi="Times New Roman" w:eastAsia="Times New Roman" w:cs="Times New Roman"/>
                <w:b/>
                <w:lang w:val="ru-RU"/>
              </w:rPr>
            </w:pPr>
          </w:p>
        </w:tc>
        <w:tc>
          <w:tcPr>
            <w:tcW w:w="567" w:type="dxa"/>
            <w:tcBorders>
              <w:top w:val="single" w:color="DDDDDD" w:sz="6" w:space="0"/>
              <w:left w:val="single" w:color="DDDDDD" w:sz="6" w:space="0"/>
              <w:bottom w:val="single" w:color="DDDDDD" w:sz="6" w:space="0"/>
              <w:right w:val="single" w:color="DDDDDD" w:sz="6" w:space="0"/>
            </w:tcBorders>
          </w:tcPr>
          <w:p>
            <w:pPr>
              <w:pStyle w:val="25"/>
              <w:rPr>
                <w:b/>
                <w:lang w:val="ru-RU"/>
              </w:rPr>
            </w:pPr>
          </w:p>
          <w:p>
            <w:pPr>
              <w:pStyle w:val="25"/>
              <w:rPr>
                <w:b/>
                <w:lang w:val="ru-RU"/>
              </w:rPr>
            </w:pPr>
          </w:p>
          <w:p>
            <w:pPr>
              <w:pStyle w:val="25"/>
              <w:spacing w:before="8"/>
              <w:rPr>
                <w:b/>
                <w:lang w:val="ru-RU"/>
              </w:rPr>
            </w:pPr>
          </w:p>
          <w:p>
            <w:pPr>
              <w:pStyle w:val="25"/>
              <w:ind w:left="300"/>
              <w:rPr>
                <w:lang w:val="en-US"/>
              </w:rPr>
            </w:pPr>
            <w:r>
              <w:rPr>
                <w:color w:val="212121"/>
                <w:lang w:val="en-US"/>
              </w:rPr>
              <w:t>12</w:t>
            </w:r>
          </w:p>
        </w:tc>
        <w:tc>
          <w:tcPr>
            <w:tcW w:w="7655" w:type="dxa"/>
            <w:tcBorders>
              <w:top w:val="single" w:color="DDDDDD" w:sz="6" w:space="0"/>
              <w:left w:val="single" w:color="DDDDDD" w:sz="6" w:space="0"/>
              <w:bottom w:val="single" w:color="DDDDDD" w:sz="6" w:space="0"/>
              <w:right w:val="single" w:color="DDDDDD" w:sz="6" w:space="0"/>
            </w:tcBorders>
          </w:tcPr>
          <w:p>
            <w:pPr>
              <w:pStyle w:val="25"/>
              <w:spacing w:before="79" w:line="276" w:lineRule="auto"/>
              <w:ind w:left="299" w:right="283"/>
              <w:jc w:val="both"/>
              <w:rPr>
                <w:lang w:val="ru-RU"/>
              </w:rPr>
            </w:pPr>
            <w:r>
              <w:rPr>
                <w:color w:val="212121"/>
                <w:lang w:val="ru-RU"/>
              </w:rPr>
              <w:t>Учні мають системні, міцні знання в обсязі та в межах вимог навчальних програм, усвідомлено використовують їх у стандартних та нестандартних ситуаціях. Уміють самостійно аналізувати, оцінювати, узагальнювати опанований матеріал, самостійно користуватися джерелами інформації, приймати рішення</w:t>
            </w:r>
          </w:p>
        </w:tc>
      </w:tr>
    </w:tbl>
    <w:p>
      <w:pPr>
        <w:rPr>
          <w:rFonts w:ascii="Times New Roman" w:hAnsi="Times New Roman" w:cs="Times New Roman"/>
          <w:sz w:val="24"/>
          <w:szCs w:val="24"/>
          <w:lang w:val="uk-UA"/>
        </w:rPr>
        <w:sectPr>
          <w:pgSz w:w="11400" w:h="15840"/>
          <w:pgMar w:top="1160" w:right="460" w:bottom="280" w:left="880" w:header="718" w:footer="0" w:gutter="0"/>
          <w:cols w:space="720" w:num="1"/>
        </w:sectPr>
      </w:pPr>
    </w:p>
    <w:p>
      <w:pPr>
        <w:spacing w:after="0" w:line="432" w:lineRule="atLeast"/>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center"/>
        <w:rPr>
          <w:rFonts w:ascii="Times New Roman" w:hAnsi="Times New Roman" w:eastAsia="Times New Roman" w:cs="Times New Roman"/>
          <w:b/>
          <w:i/>
          <w:color w:val="7F7F7F" w:themeColor="background1" w:themeShade="80"/>
          <w:sz w:val="36"/>
          <w:szCs w:val="36"/>
          <w:lang w:val="uk-UA" w:eastAsia="ru-RU"/>
        </w:rPr>
      </w:pPr>
    </w:p>
    <w:p>
      <w:pPr>
        <w:spacing w:after="0" w:line="432" w:lineRule="atLeast"/>
        <w:jc w:val="both"/>
        <w:rPr>
          <w:rFonts w:ascii="Times New Roman" w:hAnsi="Times New Roman" w:cs="Times New Roman"/>
          <w:sz w:val="28"/>
          <w:szCs w:val="28"/>
          <w:lang w:val="uk-UA"/>
        </w:rPr>
      </w:pPr>
    </w:p>
    <w:sectPr>
      <w:footerReference r:id="rId6" w:type="default"/>
      <w:pgSz w:w="11906" w:h="16838"/>
      <w:pgMar w:top="709" w:right="991" w:bottom="1134" w:left="1701" w:header="708" w:footer="708" w:gutter="0"/>
      <w:cols w:space="708"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CC"/>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Georgia">
    <w:panose1 w:val="02040502050405020303"/>
    <w:charset w:val="CC"/>
    <w:family w:val="roman"/>
    <w:pitch w:val="default"/>
    <w:sig w:usb0="00000287" w:usb1="00000000" w:usb2="00000000" w:usb3="00000000" w:csb0="2000009F" w:csb1="00000000"/>
  </w:font>
  <w:font w:name="Cambria">
    <w:panose1 w:val="02040503050406030204"/>
    <w:charset w:val="00"/>
    <w:family w:val="auto"/>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982955"/>
      <w:docPartObj>
        <w:docPartGallery w:val="autotext"/>
      </w:docPartObj>
    </w:sdtPr>
    <w:sdtContent>
      <w:p>
        <w:pPr>
          <w:pStyle w:val="16"/>
          <w:jc w:val="right"/>
        </w:pPr>
        <w:r>
          <w:fldChar w:fldCharType="begin"/>
        </w:r>
        <w:r>
          <w:instrText xml:space="preserve"> PAGE   \* MERGEFORMAT </w:instrText>
        </w:r>
        <w:r>
          <w:fldChar w:fldCharType="separate"/>
        </w:r>
        <w:r>
          <w:t>84</w:t>
        </w:r>
        <w:r>
          <w:fldChar w:fldCharType="end"/>
        </w:r>
      </w:p>
    </w:sdtContent>
  </w:sdt>
  <w:p>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6982954"/>
      <w:docPartObj>
        <w:docPartGallery w:val="autotext"/>
      </w:docPartObj>
    </w:sdtPr>
    <w:sdtContent>
      <w:p>
        <w:pPr>
          <w:pStyle w:val="16"/>
          <w:jc w:val="right"/>
        </w:pPr>
        <w:r>
          <w:fldChar w:fldCharType="begin"/>
        </w:r>
        <w:r>
          <w:instrText xml:space="preserve"> PAGE   \* MERGEFORMAT </w:instrText>
        </w:r>
        <w:r>
          <w:fldChar w:fldCharType="separate"/>
        </w:r>
        <w:r>
          <w:t>82</w:t>
        </w:r>
        <w:r>
          <w:fldChar w:fldCharType="end"/>
        </w:r>
      </w:p>
    </w:sdtContent>
  </w:sdt>
  <w:p>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E"/>
    <w:multiLevelType w:val="multilevel"/>
    <w:tmpl w:val="0000001E"/>
    <w:lvl w:ilvl="0" w:tentative="0">
      <w:start w:val="6"/>
      <w:numFmt w:val="decimal"/>
      <w:lvlText w:val="%1."/>
      <w:lvlJc w:val="left"/>
    </w:lvl>
    <w:lvl w:ilvl="1" w:tentative="0">
      <w:start w:val="1"/>
      <w:numFmt w:val="bullet"/>
      <w:lvlText w:val="У"/>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5455E67"/>
    <w:multiLevelType w:val="multilevel"/>
    <w:tmpl w:val="05455E6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5FC41D8"/>
    <w:multiLevelType w:val="multilevel"/>
    <w:tmpl w:val="05FC41D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
    <w:nsid w:val="06017565"/>
    <w:multiLevelType w:val="multilevel"/>
    <w:tmpl w:val="060175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68268E5"/>
    <w:multiLevelType w:val="multilevel"/>
    <w:tmpl w:val="068268E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A34167F"/>
    <w:multiLevelType w:val="multilevel"/>
    <w:tmpl w:val="0A34167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C792F79"/>
    <w:multiLevelType w:val="multilevel"/>
    <w:tmpl w:val="0C792F79"/>
    <w:lvl w:ilvl="0" w:tentative="0">
      <w:start w:val="1"/>
      <w:numFmt w:val="bullet"/>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080"/>
        </w:tabs>
        <w:ind w:left="1080" w:hanging="360"/>
      </w:pPr>
      <w:rPr>
        <w:rFonts w:hint="default" w:ascii="Courier New" w:hAnsi="Courier New" w:cs="Courier New"/>
      </w:rPr>
    </w:lvl>
    <w:lvl w:ilvl="2" w:tentative="0">
      <w:start w:val="1"/>
      <w:numFmt w:val="bullet"/>
      <w:lvlText w:val=""/>
      <w:lvlJc w:val="left"/>
      <w:pPr>
        <w:tabs>
          <w:tab w:val="left" w:pos="1800"/>
        </w:tabs>
        <w:ind w:left="1800" w:hanging="360"/>
      </w:pPr>
      <w:rPr>
        <w:rFonts w:hint="default" w:ascii="Wingdings" w:hAnsi="Wingdings"/>
      </w:rPr>
    </w:lvl>
    <w:lvl w:ilvl="3" w:tentative="0">
      <w:start w:val="1"/>
      <w:numFmt w:val="bullet"/>
      <w:lvlText w:val=""/>
      <w:lvlJc w:val="left"/>
      <w:pPr>
        <w:tabs>
          <w:tab w:val="left" w:pos="2520"/>
        </w:tabs>
        <w:ind w:left="2520" w:hanging="360"/>
      </w:pPr>
      <w:rPr>
        <w:rFonts w:hint="default" w:ascii="Symbol" w:hAnsi="Symbol"/>
      </w:rPr>
    </w:lvl>
    <w:lvl w:ilvl="4" w:tentative="0">
      <w:start w:val="1"/>
      <w:numFmt w:val="bullet"/>
      <w:lvlText w:val="o"/>
      <w:lvlJc w:val="left"/>
      <w:pPr>
        <w:tabs>
          <w:tab w:val="left" w:pos="3240"/>
        </w:tabs>
        <w:ind w:left="3240" w:hanging="360"/>
      </w:pPr>
      <w:rPr>
        <w:rFonts w:hint="default" w:ascii="Courier New" w:hAnsi="Courier New" w:cs="Courier New"/>
      </w:rPr>
    </w:lvl>
    <w:lvl w:ilvl="5" w:tentative="0">
      <w:start w:val="1"/>
      <w:numFmt w:val="bullet"/>
      <w:lvlText w:val=""/>
      <w:lvlJc w:val="left"/>
      <w:pPr>
        <w:tabs>
          <w:tab w:val="left" w:pos="3960"/>
        </w:tabs>
        <w:ind w:left="3960" w:hanging="360"/>
      </w:pPr>
      <w:rPr>
        <w:rFonts w:hint="default" w:ascii="Wingdings" w:hAnsi="Wingdings"/>
      </w:rPr>
    </w:lvl>
    <w:lvl w:ilvl="6" w:tentative="0">
      <w:start w:val="1"/>
      <w:numFmt w:val="bullet"/>
      <w:lvlText w:val=""/>
      <w:lvlJc w:val="left"/>
      <w:pPr>
        <w:tabs>
          <w:tab w:val="left" w:pos="4680"/>
        </w:tabs>
        <w:ind w:left="4680" w:hanging="360"/>
      </w:pPr>
      <w:rPr>
        <w:rFonts w:hint="default" w:ascii="Symbol" w:hAnsi="Symbol"/>
      </w:rPr>
    </w:lvl>
    <w:lvl w:ilvl="7" w:tentative="0">
      <w:start w:val="1"/>
      <w:numFmt w:val="bullet"/>
      <w:lvlText w:val="o"/>
      <w:lvlJc w:val="left"/>
      <w:pPr>
        <w:tabs>
          <w:tab w:val="left" w:pos="5400"/>
        </w:tabs>
        <w:ind w:left="5400" w:hanging="360"/>
      </w:pPr>
      <w:rPr>
        <w:rFonts w:hint="default" w:ascii="Courier New" w:hAnsi="Courier New" w:cs="Courier New"/>
      </w:rPr>
    </w:lvl>
    <w:lvl w:ilvl="8" w:tentative="0">
      <w:start w:val="1"/>
      <w:numFmt w:val="bullet"/>
      <w:lvlText w:val=""/>
      <w:lvlJc w:val="left"/>
      <w:pPr>
        <w:tabs>
          <w:tab w:val="left" w:pos="6120"/>
        </w:tabs>
        <w:ind w:left="6120" w:hanging="360"/>
      </w:pPr>
      <w:rPr>
        <w:rFonts w:hint="default" w:ascii="Wingdings" w:hAnsi="Wingdings"/>
      </w:rPr>
    </w:lvl>
  </w:abstractNum>
  <w:abstractNum w:abstractNumId="7">
    <w:nsid w:val="0F5272DA"/>
    <w:multiLevelType w:val="multilevel"/>
    <w:tmpl w:val="0F5272D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28F2A72"/>
    <w:multiLevelType w:val="multilevel"/>
    <w:tmpl w:val="128F2A7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4D148FE"/>
    <w:multiLevelType w:val="multilevel"/>
    <w:tmpl w:val="14D148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6894792"/>
    <w:multiLevelType w:val="multilevel"/>
    <w:tmpl w:val="1689479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7C47C08"/>
    <w:multiLevelType w:val="multilevel"/>
    <w:tmpl w:val="17C47C0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8A05714"/>
    <w:multiLevelType w:val="multilevel"/>
    <w:tmpl w:val="18A05714"/>
    <w:lvl w:ilvl="0" w:tentative="0">
      <w:start w:val="0"/>
      <w:numFmt w:val="bullet"/>
      <w:lvlText w:val="–"/>
      <w:lvlJc w:val="left"/>
      <w:pPr>
        <w:ind w:left="1440" w:hanging="360"/>
      </w:pPr>
      <w:rPr>
        <w:rFonts w:hint="default" w:ascii="Times New Roman" w:hAnsi="Times New Roman" w:eastAsia="Times New Roman" w:cs="Times New Roman"/>
        <w:b w:val="0"/>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
    <w:nsid w:val="1C8373A5"/>
    <w:multiLevelType w:val="multilevel"/>
    <w:tmpl w:val="1C8373A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1EF1299"/>
    <w:multiLevelType w:val="multilevel"/>
    <w:tmpl w:val="21EF1299"/>
    <w:lvl w:ilvl="0" w:tentative="0">
      <w:start w:val="0"/>
      <w:numFmt w:val="bullet"/>
      <w:lvlText w:val="-"/>
      <w:lvlJc w:val="left"/>
      <w:pPr>
        <w:ind w:left="1148" w:hanging="361"/>
      </w:pPr>
      <w:rPr>
        <w:rFonts w:hint="default" w:ascii="Times New Roman" w:hAnsi="Times New Roman" w:eastAsia="Times New Roman" w:cs="Times New Roman"/>
        <w:spacing w:val="-32"/>
        <w:w w:val="99"/>
        <w:sz w:val="28"/>
        <w:szCs w:val="28"/>
        <w:lang w:val="uk-UA" w:eastAsia="en-US" w:bidi="ar-SA"/>
      </w:rPr>
    </w:lvl>
    <w:lvl w:ilvl="1" w:tentative="0">
      <w:start w:val="1"/>
      <w:numFmt w:val="decimal"/>
      <w:lvlText w:val="%2)"/>
      <w:lvlJc w:val="left"/>
      <w:pPr>
        <w:ind w:left="740" w:hanging="477"/>
        <w:jc w:val="left"/>
      </w:pPr>
      <w:rPr>
        <w:rFonts w:hint="default" w:ascii="Times New Roman" w:hAnsi="Times New Roman" w:eastAsia="Times New Roman" w:cs="Times New Roman"/>
        <w:spacing w:val="0"/>
        <w:w w:val="100"/>
        <w:sz w:val="25"/>
        <w:szCs w:val="25"/>
        <w:lang w:val="uk-UA" w:eastAsia="en-US" w:bidi="ar-SA"/>
      </w:rPr>
    </w:lvl>
    <w:lvl w:ilvl="2" w:tentative="0">
      <w:start w:val="0"/>
      <w:numFmt w:val="bullet"/>
      <w:lvlText w:val="•"/>
      <w:lvlJc w:val="left"/>
      <w:pPr>
        <w:ind w:left="2172" w:hanging="477"/>
      </w:pPr>
      <w:rPr>
        <w:rFonts w:hint="default"/>
        <w:lang w:val="uk-UA" w:eastAsia="en-US" w:bidi="ar-SA"/>
      </w:rPr>
    </w:lvl>
    <w:lvl w:ilvl="3" w:tentative="0">
      <w:start w:val="0"/>
      <w:numFmt w:val="bullet"/>
      <w:lvlText w:val="•"/>
      <w:lvlJc w:val="left"/>
      <w:pPr>
        <w:ind w:left="3204" w:hanging="477"/>
      </w:pPr>
      <w:rPr>
        <w:rFonts w:hint="default"/>
        <w:lang w:val="uk-UA" w:eastAsia="en-US" w:bidi="ar-SA"/>
      </w:rPr>
    </w:lvl>
    <w:lvl w:ilvl="4" w:tentative="0">
      <w:start w:val="0"/>
      <w:numFmt w:val="bullet"/>
      <w:lvlText w:val="•"/>
      <w:lvlJc w:val="left"/>
      <w:pPr>
        <w:ind w:left="4236" w:hanging="477"/>
      </w:pPr>
      <w:rPr>
        <w:rFonts w:hint="default"/>
        <w:lang w:val="uk-UA" w:eastAsia="en-US" w:bidi="ar-SA"/>
      </w:rPr>
    </w:lvl>
    <w:lvl w:ilvl="5" w:tentative="0">
      <w:start w:val="0"/>
      <w:numFmt w:val="bullet"/>
      <w:lvlText w:val="•"/>
      <w:lvlJc w:val="left"/>
      <w:pPr>
        <w:ind w:left="5268" w:hanging="477"/>
      </w:pPr>
      <w:rPr>
        <w:rFonts w:hint="default"/>
        <w:lang w:val="uk-UA" w:eastAsia="en-US" w:bidi="ar-SA"/>
      </w:rPr>
    </w:lvl>
    <w:lvl w:ilvl="6" w:tentative="0">
      <w:start w:val="0"/>
      <w:numFmt w:val="bullet"/>
      <w:lvlText w:val="•"/>
      <w:lvlJc w:val="left"/>
      <w:pPr>
        <w:ind w:left="6300" w:hanging="477"/>
      </w:pPr>
      <w:rPr>
        <w:rFonts w:hint="default"/>
        <w:lang w:val="uk-UA" w:eastAsia="en-US" w:bidi="ar-SA"/>
      </w:rPr>
    </w:lvl>
    <w:lvl w:ilvl="7" w:tentative="0">
      <w:start w:val="0"/>
      <w:numFmt w:val="bullet"/>
      <w:lvlText w:val="•"/>
      <w:lvlJc w:val="left"/>
      <w:pPr>
        <w:ind w:left="7332" w:hanging="477"/>
      </w:pPr>
      <w:rPr>
        <w:rFonts w:hint="default"/>
        <w:lang w:val="uk-UA" w:eastAsia="en-US" w:bidi="ar-SA"/>
      </w:rPr>
    </w:lvl>
    <w:lvl w:ilvl="8" w:tentative="0">
      <w:start w:val="0"/>
      <w:numFmt w:val="bullet"/>
      <w:lvlText w:val="•"/>
      <w:lvlJc w:val="left"/>
      <w:pPr>
        <w:ind w:left="8364" w:hanging="477"/>
      </w:pPr>
      <w:rPr>
        <w:rFonts w:hint="default"/>
        <w:lang w:val="uk-UA" w:eastAsia="en-US" w:bidi="ar-SA"/>
      </w:rPr>
    </w:lvl>
  </w:abstractNum>
  <w:abstractNum w:abstractNumId="15">
    <w:nsid w:val="23326A73"/>
    <w:multiLevelType w:val="multilevel"/>
    <w:tmpl w:val="23326A7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31DA3039"/>
    <w:multiLevelType w:val="multilevel"/>
    <w:tmpl w:val="31DA303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36E07908"/>
    <w:multiLevelType w:val="multilevel"/>
    <w:tmpl w:val="36E07908"/>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8986D6A"/>
    <w:multiLevelType w:val="multilevel"/>
    <w:tmpl w:val="38986D6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B4A3B6C"/>
    <w:multiLevelType w:val="multilevel"/>
    <w:tmpl w:val="3B4A3B6C"/>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B6560DE"/>
    <w:multiLevelType w:val="multilevel"/>
    <w:tmpl w:val="3B6560D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406236DE"/>
    <w:multiLevelType w:val="multilevel"/>
    <w:tmpl w:val="406236DE"/>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428F3122"/>
    <w:multiLevelType w:val="multilevel"/>
    <w:tmpl w:val="428F312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45267454"/>
    <w:multiLevelType w:val="multilevel"/>
    <w:tmpl w:val="4526745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470C4C6B"/>
    <w:multiLevelType w:val="multilevel"/>
    <w:tmpl w:val="470C4C6B"/>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73D1FF0"/>
    <w:multiLevelType w:val="multilevel"/>
    <w:tmpl w:val="473D1F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6">
    <w:nsid w:val="4BC74C56"/>
    <w:multiLevelType w:val="multilevel"/>
    <w:tmpl w:val="4BC74C5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4D2130FE"/>
    <w:multiLevelType w:val="multilevel"/>
    <w:tmpl w:val="4D2130F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4E943E1B"/>
    <w:multiLevelType w:val="multilevel"/>
    <w:tmpl w:val="4E943E1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51306D63"/>
    <w:multiLevelType w:val="multilevel"/>
    <w:tmpl w:val="51306D6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51491926"/>
    <w:multiLevelType w:val="multilevel"/>
    <w:tmpl w:val="51491926"/>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52D619E9"/>
    <w:multiLevelType w:val="multilevel"/>
    <w:tmpl w:val="52D619E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5C2D7F64"/>
    <w:multiLevelType w:val="multilevel"/>
    <w:tmpl w:val="5C2D7F6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6A6C724D"/>
    <w:multiLevelType w:val="multilevel"/>
    <w:tmpl w:val="6A6C724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70937E61"/>
    <w:multiLevelType w:val="multilevel"/>
    <w:tmpl w:val="70937E61"/>
    <w:lvl w:ilvl="0" w:tentative="0">
      <w:start w:val="0"/>
      <w:numFmt w:val="bullet"/>
      <w:lvlText w:val="–"/>
      <w:lvlJc w:val="left"/>
      <w:pPr>
        <w:ind w:left="1700" w:hanging="360"/>
      </w:pPr>
      <w:rPr>
        <w:rFonts w:hint="default" w:ascii="Times New Roman" w:hAnsi="Times New Roman" w:eastAsia="Times New Roman" w:cs="Times New Roman"/>
        <w:b w:val="0"/>
      </w:rPr>
    </w:lvl>
    <w:lvl w:ilvl="1" w:tentative="0">
      <w:start w:val="1"/>
      <w:numFmt w:val="bullet"/>
      <w:lvlText w:val="o"/>
      <w:lvlJc w:val="left"/>
      <w:pPr>
        <w:ind w:left="2420" w:hanging="360"/>
      </w:pPr>
      <w:rPr>
        <w:rFonts w:hint="default" w:ascii="Courier New" w:hAnsi="Courier New" w:cs="Courier New"/>
      </w:rPr>
    </w:lvl>
    <w:lvl w:ilvl="2" w:tentative="0">
      <w:start w:val="1"/>
      <w:numFmt w:val="bullet"/>
      <w:lvlText w:val=""/>
      <w:lvlJc w:val="left"/>
      <w:pPr>
        <w:ind w:left="3140" w:hanging="360"/>
      </w:pPr>
      <w:rPr>
        <w:rFonts w:hint="default" w:ascii="Wingdings" w:hAnsi="Wingdings"/>
      </w:rPr>
    </w:lvl>
    <w:lvl w:ilvl="3" w:tentative="0">
      <w:start w:val="1"/>
      <w:numFmt w:val="bullet"/>
      <w:lvlText w:val=""/>
      <w:lvlJc w:val="left"/>
      <w:pPr>
        <w:ind w:left="3860" w:hanging="360"/>
      </w:pPr>
      <w:rPr>
        <w:rFonts w:hint="default" w:ascii="Symbol" w:hAnsi="Symbol"/>
      </w:rPr>
    </w:lvl>
    <w:lvl w:ilvl="4" w:tentative="0">
      <w:start w:val="1"/>
      <w:numFmt w:val="bullet"/>
      <w:lvlText w:val="o"/>
      <w:lvlJc w:val="left"/>
      <w:pPr>
        <w:ind w:left="4580" w:hanging="360"/>
      </w:pPr>
      <w:rPr>
        <w:rFonts w:hint="default" w:ascii="Courier New" w:hAnsi="Courier New" w:cs="Courier New"/>
      </w:rPr>
    </w:lvl>
    <w:lvl w:ilvl="5" w:tentative="0">
      <w:start w:val="1"/>
      <w:numFmt w:val="bullet"/>
      <w:lvlText w:val=""/>
      <w:lvlJc w:val="left"/>
      <w:pPr>
        <w:ind w:left="5300" w:hanging="360"/>
      </w:pPr>
      <w:rPr>
        <w:rFonts w:hint="default" w:ascii="Wingdings" w:hAnsi="Wingdings"/>
      </w:rPr>
    </w:lvl>
    <w:lvl w:ilvl="6" w:tentative="0">
      <w:start w:val="1"/>
      <w:numFmt w:val="bullet"/>
      <w:lvlText w:val=""/>
      <w:lvlJc w:val="left"/>
      <w:pPr>
        <w:ind w:left="6020" w:hanging="360"/>
      </w:pPr>
      <w:rPr>
        <w:rFonts w:hint="default" w:ascii="Symbol" w:hAnsi="Symbol"/>
      </w:rPr>
    </w:lvl>
    <w:lvl w:ilvl="7" w:tentative="0">
      <w:start w:val="1"/>
      <w:numFmt w:val="bullet"/>
      <w:lvlText w:val="o"/>
      <w:lvlJc w:val="left"/>
      <w:pPr>
        <w:ind w:left="6740" w:hanging="360"/>
      </w:pPr>
      <w:rPr>
        <w:rFonts w:hint="default" w:ascii="Courier New" w:hAnsi="Courier New" w:cs="Courier New"/>
      </w:rPr>
    </w:lvl>
    <w:lvl w:ilvl="8" w:tentative="0">
      <w:start w:val="1"/>
      <w:numFmt w:val="bullet"/>
      <w:lvlText w:val=""/>
      <w:lvlJc w:val="left"/>
      <w:pPr>
        <w:ind w:left="7460" w:hanging="360"/>
      </w:pPr>
      <w:rPr>
        <w:rFonts w:hint="default" w:ascii="Wingdings" w:hAnsi="Wingdings"/>
      </w:rPr>
    </w:lvl>
  </w:abstractNum>
  <w:abstractNum w:abstractNumId="35">
    <w:nsid w:val="7162050D"/>
    <w:multiLevelType w:val="multilevel"/>
    <w:tmpl w:val="7162050D"/>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778D3843"/>
    <w:multiLevelType w:val="multilevel"/>
    <w:tmpl w:val="778D384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7975596D"/>
    <w:multiLevelType w:val="multilevel"/>
    <w:tmpl w:val="7975596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7F890DD7"/>
    <w:multiLevelType w:val="multilevel"/>
    <w:tmpl w:val="7F890DD7"/>
    <w:lvl w:ilvl="0" w:tentative="0">
      <w:start w:val="1"/>
      <w:numFmt w:val="decimal"/>
      <w:lvlText w:val="%1."/>
      <w:lvlJc w:val="left"/>
      <w:pPr>
        <w:tabs>
          <w:tab w:val="left" w:pos="720"/>
        </w:tabs>
        <w:ind w:left="720" w:hanging="360"/>
      </w:pPr>
      <w:rPr>
        <w:rFonts w:hint="default"/>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
  </w:num>
  <w:num w:numId="2">
    <w:abstractNumId w:val="21"/>
  </w:num>
  <w:num w:numId="3">
    <w:abstractNumId w:val="9"/>
  </w:num>
  <w:num w:numId="4">
    <w:abstractNumId w:val="36"/>
  </w:num>
  <w:num w:numId="5">
    <w:abstractNumId w:val="4"/>
  </w:num>
  <w:num w:numId="6">
    <w:abstractNumId w:val="13"/>
  </w:num>
  <w:num w:numId="7">
    <w:abstractNumId w:val="22"/>
  </w:num>
  <w:num w:numId="8">
    <w:abstractNumId w:val="14"/>
  </w:num>
  <w:num w:numId="9">
    <w:abstractNumId w:val="5"/>
  </w:num>
  <w:num w:numId="10">
    <w:abstractNumId w:val="25"/>
  </w:num>
  <w:num w:numId="11">
    <w:abstractNumId w:val="3"/>
  </w:num>
  <w:num w:numId="12">
    <w:abstractNumId w:val="15"/>
  </w:num>
  <w:num w:numId="13">
    <w:abstractNumId w:val="27"/>
  </w:num>
  <w:num w:numId="14">
    <w:abstractNumId w:val="17"/>
  </w:num>
  <w:num w:numId="15">
    <w:abstractNumId w:val="18"/>
  </w:num>
  <w:num w:numId="16">
    <w:abstractNumId w:val="19"/>
  </w:num>
  <w:num w:numId="17">
    <w:abstractNumId w:val="8"/>
  </w:num>
  <w:num w:numId="18">
    <w:abstractNumId w:val="7"/>
  </w:num>
  <w:num w:numId="19">
    <w:abstractNumId w:val="33"/>
  </w:num>
  <w:num w:numId="20">
    <w:abstractNumId w:val="29"/>
  </w:num>
  <w:num w:numId="21">
    <w:abstractNumId w:val="10"/>
  </w:num>
  <w:num w:numId="22">
    <w:abstractNumId w:val="35"/>
  </w:num>
  <w:num w:numId="23">
    <w:abstractNumId w:val="32"/>
  </w:num>
  <w:num w:numId="24">
    <w:abstractNumId w:val="11"/>
  </w:num>
  <w:num w:numId="25">
    <w:abstractNumId w:val="30"/>
  </w:num>
  <w:num w:numId="26">
    <w:abstractNumId w:val="2"/>
  </w:num>
  <w:num w:numId="27">
    <w:abstractNumId w:val="24"/>
  </w:num>
  <w:num w:numId="28">
    <w:abstractNumId w:val="6"/>
  </w:num>
  <w:num w:numId="29">
    <w:abstractNumId w:val="38"/>
  </w:num>
  <w:num w:numId="30">
    <w:abstractNumId w:val="26"/>
  </w:num>
  <w:num w:numId="31">
    <w:abstractNumId w:val="28"/>
  </w:num>
  <w:num w:numId="32">
    <w:abstractNumId w:val="16"/>
  </w:num>
  <w:num w:numId="33">
    <w:abstractNumId w:val="23"/>
  </w:num>
  <w:num w:numId="34">
    <w:abstractNumId w:val="31"/>
  </w:num>
  <w:num w:numId="35">
    <w:abstractNumId w:val="20"/>
  </w:num>
  <w:num w:numId="36">
    <w:abstractNumId w:val="37"/>
  </w:num>
  <w:num w:numId="37">
    <w:abstractNumId w:val="34"/>
  </w:num>
  <w:num w:numId="38">
    <w:abstractNumId w:val="12"/>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drawingGridHorizontalSpacing w:val="110"/>
  <w:displayHorizontalDrawingGridEvery w:val="2"/>
  <w:characterSpacingControl w:val="doNotCompress"/>
  <w:footnotePr>
    <w:footnote w:id="0"/>
    <w:footnote w:id="1"/>
  </w:footnotePr>
  <w:endnotePr>
    <w:endnote w:id="0"/>
    <w:endnote w:id="1"/>
  </w:endnotePr>
  <w:compat>
    <w:compatSetting w:name="compatibilityMode" w:uri="http://schemas.microsoft.com/office/word" w:val="12"/>
  </w:compat>
  <w:rsids>
    <w:rsidRoot w:val="00E40DA3"/>
    <w:rsid w:val="000137C0"/>
    <w:rsid w:val="00095D8C"/>
    <w:rsid w:val="000C0827"/>
    <w:rsid w:val="000D5C01"/>
    <w:rsid w:val="00122E12"/>
    <w:rsid w:val="001464BB"/>
    <w:rsid w:val="00164305"/>
    <w:rsid w:val="001767DB"/>
    <w:rsid w:val="00177DEF"/>
    <w:rsid w:val="00184643"/>
    <w:rsid w:val="001851BA"/>
    <w:rsid w:val="001940FF"/>
    <w:rsid w:val="001C6A82"/>
    <w:rsid w:val="002175BB"/>
    <w:rsid w:val="00245F47"/>
    <w:rsid w:val="002A135A"/>
    <w:rsid w:val="002C08CB"/>
    <w:rsid w:val="002C2B0D"/>
    <w:rsid w:val="002C54EF"/>
    <w:rsid w:val="002E4C15"/>
    <w:rsid w:val="002E4DA6"/>
    <w:rsid w:val="00310C8B"/>
    <w:rsid w:val="00313A43"/>
    <w:rsid w:val="003B1B26"/>
    <w:rsid w:val="003C62EF"/>
    <w:rsid w:val="003D283F"/>
    <w:rsid w:val="003E2354"/>
    <w:rsid w:val="004131E3"/>
    <w:rsid w:val="00415C07"/>
    <w:rsid w:val="00465A9F"/>
    <w:rsid w:val="004C6866"/>
    <w:rsid w:val="004D126C"/>
    <w:rsid w:val="004D5BFF"/>
    <w:rsid w:val="004E008E"/>
    <w:rsid w:val="004E5454"/>
    <w:rsid w:val="005515B9"/>
    <w:rsid w:val="0056767A"/>
    <w:rsid w:val="005B7A8A"/>
    <w:rsid w:val="00640823"/>
    <w:rsid w:val="0064190E"/>
    <w:rsid w:val="00673D21"/>
    <w:rsid w:val="00683489"/>
    <w:rsid w:val="00690153"/>
    <w:rsid w:val="006C2841"/>
    <w:rsid w:val="006D497C"/>
    <w:rsid w:val="00704F77"/>
    <w:rsid w:val="0078087E"/>
    <w:rsid w:val="0079553C"/>
    <w:rsid w:val="007C7214"/>
    <w:rsid w:val="007E7F9A"/>
    <w:rsid w:val="00830891"/>
    <w:rsid w:val="009039DA"/>
    <w:rsid w:val="00925C5B"/>
    <w:rsid w:val="00930913"/>
    <w:rsid w:val="00963D45"/>
    <w:rsid w:val="009D1AAC"/>
    <w:rsid w:val="00A05DD6"/>
    <w:rsid w:val="00A105C4"/>
    <w:rsid w:val="00A3221D"/>
    <w:rsid w:val="00A43340"/>
    <w:rsid w:val="00A76E3E"/>
    <w:rsid w:val="00A943C6"/>
    <w:rsid w:val="00AC1DB6"/>
    <w:rsid w:val="00AD321E"/>
    <w:rsid w:val="00AE19D9"/>
    <w:rsid w:val="00B16335"/>
    <w:rsid w:val="00BB1497"/>
    <w:rsid w:val="00BC2783"/>
    <w:rsid w:val="00C07B25"/>
    <w:rsid w:val="00C156CA"/>
    <w:rsid w:val="00C45212"/>
    <w:rsid w:val="00C55783"/>
    <w:rsid w:val="00C627E0"/>
    <w:rsid w:val="00C73D2F"/>
    <w:rsid w:val="00D15AE1"/>
    <w:rsid w:val="00D37DF1"/>
    <w:rsid w:val="00D703BE"/>
    <w:rsid w:val="00D70F04"/>
    <w:rsid w:val="00D86A96"/>
    <w:rsid w:val="00E13996"/>
    <w:rsid w:val="00E309FA"/>
    <w:rsid w:val="00E30BC4"/>
    <w:rsid w:val="00E31004"/>
    <w:rsid w:val="00E365E3"/>
    <w:rsid w:val="00E379A6"/>
    <w:rsid w:val="00E40DA3"/>
    <w:rsid w:val="00E41E00"/>
    <w:rsid w:val="00E50258"/>
    <w:rsid w:val="00E57C89"/>
    <w:rsid w:val="00ED3730"/>
    <w:rsid w:val="00F063B2"/>
    <w:rsid w:val="00F30939"/>
    <w:rsid w:val="00F44C35"/>
    <w:rsid w:val="00F5491B"/>
    <w:rsid w:val="00F74C02"/>
    <w:rsid w:val="00F86B22"/>
    <w:rsid w:val="00FD603A"/>
    <w:rsid w:val="054F432A"/>
    <w:rsid w:val="061B3555"/>
    <w:rsid w:val="0FE17554"/>
    <w:rsid w:val="1BD16664"/>
    <w:rsid w:val="26862CAB"/>
    <w:rsid w:val="31E242D9"/>
    <w:rsid w:val="44974AE6"/>
    <w:rsid w:val="49AF1854"/>
    <w:rsid w:val="57C82981"/>
    <w:rsid w:val="63D62377"/>
    <w:rsid w:val="701852A0"/>
    <w:rsid w:val="793E05E6"/>
    <w:rsid w:val="7FAA2AB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List Paragraph"/>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ru-RU" w:eastAsia="en-US" w:bidi="ar-SA"/>
    </w:rPr>
  </w:style>
  <w:style w:type="paragraph" w:styleId="2">
    <w:name w:val="heading 1"/>
    <w:basedOn w:val="1"/>
    <w:next w:val="1"/>
    <w:link w:val="18"/>
    <w:qFormat/>
    <w:uiPriority w:val="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ru-RU"/>
    </w:rPr>
  </w:style>
  <w:style w:type="paragraph" w:styleId="3">
    <w:name w:val="heading 2"/>
    <w:basedOn w:val="1"/>
    <w:next w:val="1"/>
    <w:link w:val="19"/>
    <w:qFormat/>
    <w:uiPriority w:val="9"/>
    <w:pPr>
      <w:spacing w:before="100" w:beforeAutospacing="1" w:after="100" w:afterAutospacing="1" w:line="240" w:lineRule="auto"/>
      <w:outlineLvl w:val="1"/>
    </w:pPr>
    <w:rPr>
      <w:rFonts w:ascii="Times New Roman" w:hAnsi="Times New Roman" w:eastAsia="Times New Roman" w:cs="Times New Roman"/>
      <w:b/>
      <w:bCs/>
      <w:sz w:val="36"/>
      <w:szCs w:val="36"/>
      <w:lang w:eastAsia="ru-RU"/>
    </w:rPr>
  </w:style>
  <w:style w:type="paragraph" w:styleId="4">
    <w:name w:val="heading 3"/>
    <w:basedOn w:val="1"/>
    <w:next w:val="1"/>
    <w:link w:val="29"/>
    <w:semiHidden/>
    <w:unhideWhenUsed/>
    <w:qFormat/>
    <w:uiPriority w:val="9"/>
    <w:pPr>
      <w:keepNext/>
      <w:keepLines/>
      <w:spacing w:before="200" w:after="0"/>
      <w:outlineLvl w:val="2"/>
    </w:pPr>
    <w:rPr>
      <w:rFonts w:asciiTheme="majorHAnsi" w:hAnsiTheme="majorHAnsi" w:eastAsiaTheme="majorEastAsia" w:cstheme="majorBidi"/>
      <w:b/>
      <w:bCs/>
      <w:color w:val="4F81BD" w:themeColor="accent1"/>
    </w:rPr>
  </w:style>
  <w:style w:type="paragraph" w:styleId="5">
    <w:name w:val="heading 5"/>
    <w:basedOn w:val="1"/>
    <w:next w:val="1"/>
    <w:link w:val="20"/>
    <w:qFormat/>
    <w:uiPriority w:val="9"/>
    <w:pPr>
      <w:spacing w:before="100" w:beforeAutospacing="1" w:after="100" w:afterAutospacing="1" w:line="240" w:lineRule="auto"/>
      <w:outlineLvl w:val="4"/>
    </w:pPr>
    <w:rPr>
      <w:rFonts w:ascii="Times New Roman" w:hAnsi="Times New Roman" w:eastAsia="Times New Roman" w:cs="Times New Roman"/>
      <w:b/>
      <w:bCs/>
      <w:sz w:val="20"/>
      <w:szCs w:val="20"/>
      <w:lang w:eastAsia="ru-RU"/>
    </w:rPr>
  </w:style>
  <w:style w:type="character" w:default="1" w:styleId="6">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character" w:styleId="8">
    <w:name w:val="FollowedHyperlink"/>
    <w:basedOn w:val="6"/>
    <w:semiHidden/>
    <w:unhideWhenUsed/>
    <w:qFormat/>
    <w:uiPriority w:val="99"/>
    <w:rPr>
      <w:color w:val="800080"/>
      <w:u w:val="single"/>
    </w:rPr>
  </w:style>
  <w:style w:type="character" w:styleId="9">
    <w:name w:val="Emphasis"/>
    <w:basedOn w:val="6"/>
    <w:qFormat/>
    <w:uiPriority w:val="20"/>
    <w:rPr>
      <w:i/>
      <w:iCs/>
    </w:rPr>
  </w:style>
  <w:style w:type="character" w:styleId="10">
    <w:name w:val="Hyperlink"/>
    <w:basedOn w:val="6"/>
    <w:semiHidden/>
    <w:unhideWhenUsed/>
    <w:qFormat/>
    <w:uiPriority w:val="99"/>
    <w:rPr>
      <w:color w:val="0000FF"/>
      <w:u w:val="single"/>
    </w:rPr>
  </w:style>
  <w:style w:type="character" w:styleId="11">
    <w:name w:val="Strong"/>
    <w:basedOn w:val="6"/>
    <w:qFormat/>
    <w:uiPriority w:val="22"/>
    <w:rPr>
      <w:b/>
      <w:bCs/>
    </w:rPr>
  </w:style>
  <w:style w:type="paragraph" w:styleId="12">
    <w:name w:val="Balloon Text"/>
    <w:basedOn w:val="1"/>
    <w:link w:val="23"/>
    <w:semiHidden/>
    <w:unhideWhenUsed/>
    <w:qFormat/>
    <w:uiPriority w:val="99"/>
    <w:pPr>
      <w:spacing w:after="0" w:line="240" w:lineRule="auto"/>
    </w:pPr>
    <w:rPr>
      <w:rFonts w:ascii="Tahoma" w:hAnsi="Tahoma" w:cs="Tahoma"/>
      <w:sz w:val="16"/>
      <w:szCs w:val="16"/>
    </w:rPr>
  </w:style>
  <w:style w:type="paragraph" w:styleId="13">
    <w:name w:val="header"/>
    <w:basedOn w:val="1"/>
    <w:link w:val="37"/>
    <w:semiHidden/>
    <w:unhideWhenUsed/>
    <w:qFormat/>
    <w:uiPriority w:val="99"/>
    <w:pPr>
      <w:tabs>
        <w:tab w:val="center" w:pos="4677"/>
        <w:tab w:val="right" w:pos="9355"/>
      </w:tabs>
      <w:spacing w:after="0" w:line="240" w:lineRule="auto"/>
    </w:pPr>
  </w:style>
  <w:style w:type="paragraph" w:styleId="14">
    <w:name w:val="Body Text"/>
    <w:basedOn w:val="1"/>
    <w:link w:val="39"/>
    <w:semiHidden/>
    <w:unhideWhenUsed/>
    <w:qFormat/>
    <w:uiPriority w:val="99"/>
    <w:pPr>
      <w:spacing w:after="120"/>
    </w:pPr>
  </w:style>
  <w:style w:type="paragraph" w:styleId="15">
    <w:name w:val="Body Text Indent"/>
    <w:basedOn w:val="1"/>
    <w:link w:val="30"/>
    <w:qFormat/>
    <w:uiPriority w:val="0"/>
    <w:pPr>
      <w:spacing w:after="0" w:line="240" w:lineRule="auto"/>
      <w:ind w:firstLine="360"/>
    </w:pPr>
    <w:rPr>
      <w:rFonts w:ascii="Times New Roman" w:hAnsi="Times New Roman" w:eastAsia="Times New Roman" w:cs="Times New Roman"/>
      <w:sz w:val="28"/>
      <w:szCs w:val="24"/>
      <w:lang w:val="uk-UA" w:eastAsia="ru-RU"/>
    </w:rPr>
  </w:style>
  <w:style w:type="paragraph" w:styleId="16">
    <w:name w:val="footer"/>
    <w:basedOn w:val="1"/>
    <w:link w:val="38"/>
    <w:unhideWhenUsed/>
    <w:qFormat/>
    <w:uiPriority w:val="99"/>
    <w:pPr>
      <w:tabs>
        <w:tab w:val="center" w:pos="4677"/>
        <w:tab w:val="right" w:pos="9355"/>
      </w:tabs>
      <w:spacing w:after="0" w:line="240" w:lineRule="auto"/>
    </w:pPr>
  </w:style>
  <w:style w:type="paragraph" w:styleId="17">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18">
    <w:name w:val="Заголовок 1 Знак"/>
    <w:basedOn w:val="6"/>
    <w:link w:val="2"/>
    <w:qFormat/>
    <w:uiPriority w:val="9"/>
    <w:rPr>
      <w:rFonts w:ascii="Times New Roman" w:hAnsi="Times New Roman" w:eastAsia="Times New Roman" w:cs="Times New Roman"/>
      <w:b/>
      <w:bCs/>
      <w:kern w:val="36"/>
      <w:sz w:val="48"/>
      <w:szCs w:val="48"/>
      <w:lang w:eastAsia="ru-RU"/>
    </w:rPr>
  </w:style>
  <w:style w:type="character" w:customStyle="1" w:styleId="19">
    <w:name w:val="Заголовок 2 Знак"/>
    <w:basedOn w:val="6"/>
    <w:link w:val="3"/>
    <w:qFormat/>
    <w:uiPriority w:val="9"/>
    <w:rPr>
      <w:rFonts w:ascii="Times New Roman" w:hAnsi="Times New Roman" w:eastAsia="Times New Roman" w:cs="Times New Roman"/>
      <w:b/>
      <w:bCs/>
      <w:sz w:val="36"/>
      <w:szCs w:val="36"/>
      <w:lang w:eastAsia="ru-RU"/>
    </w:rPr>
  </w:style>
  <w:style w:type="character" w:customStyle="1" w:styleId="20">
    <w:name w:val="Заголовок 5 Знак"/>
    <w:basedOn w:val="6"/>
    <w:link w:val="5"/>
    <w:qFormat/>
    <w:uiPriority w:val="9"/>
    <w:rPr>
      <w:rFonts w:ascii="Times New Roman" w:hAnsi="Times New Roman" w:eastAsia="Times New Roman" w:cs="Times New Roman"/>
      <w:b/>
      <w:bCs/>
      <w:sz w:val="20"/>
      <w:szCs w:val="20"/>
      <w:lang w:eastAsia="ru-RU"/>
    </w:rPr>
  </w:style>
  <w:style w:type="character" w:customStyle="1" w:styleId="21">
    <w:name w:val="count"/>
    <w:basedOn w:val="6"/>
    <w:qFormat/>
    <w:uiPriority w:val="0"/>
  </w:style>
  <w:style w:type="character" w:customStyle="1" w:styleId="22">
    <w:name w:val="at-icon-wrapper"/>
    <w:basedOn w:val="6"/>
    <w:qFormat/>
    <w:uiPriority w:val="0"/>
  </w:style>
  <w:style w:type="character" w:customStyle="1" w:styleId="23">
    <w:name w:val="Текст выноски Знак"/>
    <w:basedOn w:val="6"/>
    <w:link w:val="12"/>
    <w:semiHidden/>
    <w:qFormat/>
    <w:uiPriority w:val="99"/>
    <w:rPr>
      <w:rFonts w:ascii="Tahoma" w:hAnsi="Tahoma" w:cs="Tahoma"/>
      <w:sz w:val="16"/>
      <w:szCs w:val="16"/>
    </w:rPr>
  </w:style>
  <w:style w:type="table" w:customStyle="1" w:styleId="24">
    <w:name w:val="Table Normal1"/>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25">
    <w:name w:val="Table Paragraph"/>
    <w:basedOn w:val="1"/>
    <w:qFormat/>
    <w:uiPriority w:val="1"/>
    <w:pPr>
      <w:widowControl w:val="0"/>
      <w:autoSpaceDE w:val="0"/>
      <w:autoSpaceDN w:val="0"/>
      <w:spacing w:after="0" w:line="252" w:lineRule="exact"/>
      <w:ind w:left="786"/>
    </w:pPr>
    <w:rPr>
      <w:rFonts w:ascii="Times New Roman" w:hAnsi="Times New Roman" w:eastAsia="Times New Roman" w:cs="Times New Roman"/>
      <w:lang w:val="uk-UA"/>
    </w:rPr>
  </w:style>
  <w:style w:type="paragraph" w:styleId="26">
    <w:name w:val="List Paragraph"/>
    <w:basedOn w:val="1"/>
    <w:qFormat/>
    <w:uiPriority w:val="1"/>
    <w:pPr>
      <w:ind w:left="720"/>
      <w:contextualSpacing/>
    </w:pPr>
  </w:style>
  <w:style w:type="paragraph" w:customStyle="1" w:styleId="27">
    <w:name w:val="10"/>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28">
    <w:name w:val="rvts23"/>
    <w:basedOn w:val="6"/>
    <w:qFormat/>
    <w:uiPriority w:val="0"/>
  </w:style>
  <w:style w:type="character" w:customStyle="1" w:styleId="29">
    <w:name w:val="Заголовок 3 Знак"/>
    <w:basedOn w:val="6"/>
    <w:link w:val="4"/>
    <w:semiHidden/>
    <w:qFormat/>
    <w:uiPriority w:val="9"/>
    <w:rPr>
      <w:rFonts w:asciiTheme="majorHAnsi" w:hAnsiTheme="majorHAnsi" w:eastAsiaTheme="majorEastAsia" w:cstheme="majorBidi"/>
      <w:b/>
      <w:bCs/>
      <w:color w:val="4F81BD" w:themeColor="accent1"/>
    </w:rPr>
  </w:style>
  <w:style w:type="character" w:customStyle="1" w:styleId="30">
    <w:name w:val="Основной текст с отступом Знак"/>
    <w:basedOn w:val="6"/>
    <w:link w:val="15"/>
    <w:qFormat/>
    <w:uiPriority w:val="0"/>
    <w:rPr>
      <w:rFonts w:ascii="Times New Roman" w:hAnsi="Times New Roman" w:eastAsia="Times New Roman" w:cs="Times New Roman"/>
      <w:sz w:val="28"/>
      <w:szCs w:val="24"/>
      <w:lang w:val="uk-UA" w:eastAsia="ru-RU"/>
    </w:rPr>
  </w:style>
  <w:style w:type="paragraph" w:customStyle="1" w:styleId="31">
    <w:name w:val="rvps1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2">
    <w:name w:val="rvts9"/>
    <w:basedOn w:val="6"/>
    <w:qFormat/>
    <w:uiPriority w:val="0"/>
  </w:style>
  <w:style w:type="paragraph" w:customStyle="1" w:styleId="33">
    <w:name w:val="rvps6"/>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4">
    <w:name w:val="rvps7"/>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paragraph" w:customStyle="1" w:styleId="35">
    <w:name w:val="rvps2"/>
    <w:basedOn w:val="1"/>
    <w:qFormat/>
    <w:uiPriority w:val="0"/>
    <w:pPr>
      <w:spacing w:before="100" w:beforeAutospacing="1" w:after="100" w:afterAutospacing="1" w:line="240" w:lineRule="auto"/>
    </w:pPr>
    <w:rPr>
      <w:rFonts w:ascii="Times New Roman" w:hAnsi="Times New Roman" w:eastAsia="Times New Roman" w:cs="Times New Roman"/>
      <w:sz w:val="24"/>
      <w:szCs w:val="24"/>
      <w:lang w:eastAsia="ru-RU"/>
    </w:rPr>
  </w:style>
  <w:style w:type="character" w:customStyle="1" w:styleId="36">
    <w:name w:val="rvts52"/>
    <w:basedOn w:val="6"/>
    <w:qFormat/>
    <w:uiPriority w:val="0"/>
  </w:style>
  <w:style w:type="character" w:customStyle="1" w:styleId="37">
    <w:name w:val="Верхний колонтитул Знак"/>
    <w:basedOn w:val="6"/>
    <w:link w:val="13"/>
    <w:semiHidden/>
    <w:qFormat/>
    <w:uiPriority w:val="99"/>
  </w:style>
  <w:style w:type="character" w:customStyle="1" w:styleId="38">
    <w:name w:val="Нижний колонтитул Знак"/>
    <w:basedOn w:val="6"/>
    <w:link w:val="16"/>
    <w:qFormat/>
    <w:uiPriority w:val="99"/>
  </w:style>
  <w:style w:type="character" w:customStyle="1" w:styleId="39">
    <w:name w:val="Основной текст Знак"/>
    <w:basedOn w:val="6"/>
    <w:link w:val="14"/>
    <w:semiHidden/>
    <w:qFormat/>
    <w:uiPriority w:val="99"/>
  </w:style>
  <w:style w:type="paragraph" w:customStyle="1" w:styleId="40">
    <w:name w:val="Заголовок 11"/>
    <w:basedOn w:val="1"/>
    <w:qFormat/>
    <w:uiPriority w:val="1"/>
    <w:pPr>
      <w:widowControl w:val="0"/>
      <w:autoSpaceDE w:val="0"/>
      <w:autoSpaceDN w:val="0"/>
      <w:spacing w:after="0" w:line="240" w:lineRule="auto"/>
      <w:ind w:left="1288"/>
      <w:outlineLvl w:val="1"/>
    </w:pPr>
    <w:rPr>
      <w:rFonts w:ascii="Times New Roman" w:hAnsi="Times New Roman" w:eastAsia="Times New Roman" w:cs="Times New Roman"/>
      <w:b/>
      <w:bCs/>
      <w:sz w:val="28"/>
      <w:szCs w:val="28"/>
      <w:lang w:val="uk-UA"/>
    </w:rPr>
  </w:style>
  <w:style w:type="table" w:customStyle="1" w:styleId="41">
    <w:name w:val="Table Normal"/>
    <w:semiHidden/>
    <w:qFormat/>
    <w:uiPriority w:val="2"/>
    <w:pPr>
      <w:widowControl w:val="0"/>
      <w:autoSpaceDE w:val="0"/>
      <w:autoSpaceDN w:val="0"/>
    </w:pPr>
    <w:rPr>
      <w:sz w:val="22"/>
      <w:szCs w:val="22"/>
      <w:lang w:val="en-US" w:eastAsia="en-US"/>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B34DC3E-1FFA-47E3-B52E-18374E495D65}">
  <ds:schemaRefs/>
</ds:datastoreItem>
</file>

<file path=docProps/app.xml><?xml version="1.0" encoding="utf-8"?>
<Properties xmlns="http://schemas.openxmlformats.org/officeDocument/2006/extended-properties" xmlns:vt="http://schemas.openxmlformats.org/officeDocument/2006/docPropsVTypes">
  <Template>Normal</Template>
  <Company>Reanimator Extreme Edition</Company>
  <Pages>1</Pages>
  <Words>22400</Words>
  <Characters>127686</Characters>
  <Lines>1064</Lines>
  <Paragraphs>299</Paragraphs>
  <TotalTime>12</TotalTime>
  <ScaleCrop>false</ScaleCrop>
  <LinksUpToDate>false</LinksUpToDate>
  <CharactersWithSpaces>149787</CharactersWithSpaces>
  <Application>WPS Office_11.2.0.10463_F1E327BC-269C-435d-A152-05C5408002CA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2022-01-25T19:17:00Z</dcterms:created>
  <dc:creator>Acer</dc:creator>
  <cp:lastModifiedBy>Я</cp:lastModifiedBy>
  <cp:lastPrinted>2022-01-29T22:08:36Z</cp:lastPrinted>
  <dcterms:modified xsi:type="dcterms:W3CDTF">2022-01-29T22:09:20Z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1049-11.2.0.10463</vt:lpwstr>
  </property>
  <property fmtid="{D5CDD505-2E9C-101B-9397-08002B2CF9AE}" pid="3" name="ICV">
    <vt:lpwstr>FA2DF33742D346B9948E3DB96E0A6B36</vt:lpwstr>
  </property>
</Properties>
</file>