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Black" w:hAnsi="Arial Black"/>
        </w:rPr>
      </w:pPr>
      <w:r>
        <w:rPr>
          <w:rFonts w:eastAsia="Times New Roman" w:cs="Times New Roman" w:ascii="Arial Black" w:hAnsi="Arial Black"/>
          <w:b/>
          <w:sz w:val="28"/>
          <w:szCs w:val="28"/>
        </w:rPr>
        <w:t>Результати с</w:t>
      </w:r>
      <w:r>
        <w:rPr>
          <w:rFonts w:eastAsia="Times New Roman" w:cs="Times New Roman" w:ascii="Arial Black" w:hAnsi="Arial Black"/>
          <w:b/>
          <w:color w:val="auto"/>
          <w:kern w:val="0"/>
          <w:sz w:val="28"/>
          <w:szCs w:val="28"/>
          <w:lang w:val="uk-UA" w:eastAsia="en-US" w:bidi="ar-SA"/>
        </w:rPr>
        <w:t>постереження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за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освітні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uk-UA" w:eastAsia="en-US" w:bidi="ar-SA"/>
        </w:rPr>
        <w:t xml:space="preserve">ми,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управлінськи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uk-UA" w:eastAsia="en-US" w:bidi="ar-SA"/>
        </w:rPr>
        <w:t>ми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процес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uk-UA" w:eastAsia="en-US" w:bidi="ar-SA"/>
        </w:rPr>
        <w:t xml:space="preserve">ами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та внутрішньо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uk-UA" w:eastAsia="en-US" w:bidi="ar-SA"/>
        </w:rPr>
        <w:t>ю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систем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uk-UA" w:eastAsia="en-US" w:bidi="ar-SA"/>
        </w:rPr>
        <w:t>ою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забезпечення якості освіти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у </w:t>
      </w:r>
      <w:r>
        <w:rPr>
          <w:rFonts w:eastAsia="Times New Roman" w:cs="Times New Roman" w:ascii="Arial Black" w:hAnsi="Arial Black"/>
          <w:b/>
          <w:color w:val="auto"/>
          <w:kern w:val="0"/>
          <w:sz w:val="28"/>
          <w:szCs w:val="28"/>
          <w:lang w:val="uk-UA" w:eastAsia="en-US" w:bidi="ar-SA"/>
        </w:rPr>
        <w:t xml:space="preserve">Грімненському </w:t>
      </w:r>
      <w:r>
        <w:rPr>
          <w:rFonts w:eastAsia="Times New Roman" w:cs="Times New Roman" w:ascii="Arial Black" w:hAnsi="Arial Black"/>
          <w:b/>
          <w:color w:val="auto"/>
          <w:kern w:val="0"/>
          <w:sz w:val="28"/>
          <w:szCs w:val="28"/>
          <w:lang w:val="uk-UA" w:eastAsia="en-US" w:bidi="ar-SA"/>
        </w:rPr>
        <w:t>ЗЗСО І-ІІІ ступенів</w:t>
      </w:r>
    </w:p>
    <w:p>
      <w:pPr>
        <w:pStyle w:val="Normal"/>
        <w:spacing w:lineRule="auto" w:line="240" w:before="0" w:after="0"/>
        <w:ind w:left="0" w:right="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uk-UA" w:eastAsia="en-US" w:bidi="ar-SA"/>
        </w:rPr>
        <w:t>Комарнівської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міської ради Львівської області</w:t>
      </w:r>
    </w:p>
    <w:p>
      <w:pPr>
        <w:pStyle w:val="Normal"/>
        <w:spacing w:lineRule="auto" w:line="240" w:before="0" w:after="0"/>
        <w:ind w:left="0" w:right="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uk-UA" w:eastAsia="en-US" w:bidi="ar-SA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рік</w:t>
      </w:r>
    </w:p>
    <w:p>
      <w:pPr>
        <w:pStyle w:val="Normal"/>
        <w:spacing w:lineRule="auto" w:line="240" w:before="0" w:after="0"/>
        <w:ind w:left="0" w:right="1" w:hanging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tbl>
      <w:tblPr>
        <w:tblW w:w="890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4759"/>
      </w:tblGrid>
      <w:tr>
        <w:trPr/>
        <w:tc>
          <w:tcPr>
            <w:tcW w:w="8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center"/>
              <w:rPr>
                <w:rFonts w:ascii="Arial Black" w:hAnsi="Arial Black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Arial Black" w:hAnsi="Arial Black"/>
                <w:b/>
                <w:sz w:val="28"/>
                <w:szCs w:val="28"/>
                <w:lang w:val="en-US"/>
              </w:rPr>
              <w:t>Загальна інформація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8"/>
                <w:szCs w:val="28"/>
              </w:rPr>
              <w:t>ПІБ керівника закладу освіти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  <w:t>Кіндрат Богдан Федорович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8"/>
                <w:szCs w:val="28"/>
              </w:rPr>
              <w:t>Строки проведення самооцінювання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8"/>
                <w:szCs w:val="28"/>
              </w:rPr>
              <w:t>вересень 2022– січень 202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  <w:t>3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8"/>
                <w:szCs w:val="28"/>
              </w:rPr>
              <w:t>р.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8"/>
                <w:szCs w:val="28"/>
              </w:rPr>
              <w:t>Загальна кількість працівників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  <w:t>39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8"/>
                <w:szCs w:val="28"/>
              </w:rPr>
              <w:t>З них педагогічних працівників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  <w:t>28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8"/>
                <w:szCs w:val="28"/>
              </w:rPr>
              <w:t>Загальна кількість здобувачів освіти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  <w:t>120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1" w:hanging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/>
          <w:u w:val="none"/>
        </w:rPr>
      </w:pPr>
      <w:r>
        <w:rPr>
          <w:rFonts w:eastAsia="Calibri" w:cs="Times New Roman" w:ascii="Arial Black" w:hAnsi="Arial Black"/>
          <w:b/>
          <w:sz w:val="28"/>
          <w:szCs w:val="28"/>
          <w:u w:val="none"/>
        </w:rPr>
        <w:t xml:space="preserve">І. Освітнє середовище закладу освіти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Вимога 1.1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Забезпечення комфортних і безпечних умов навчання та праці</w:t>
      </w:r>
    </w:p>
    <w:tbl>
      <w:tblPr>
        <w:tblStyle w:val="10"/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"/>
        <w:gridCol w:w="5539"/>
        <w:gridCol w:w="669"/>
        <w:gridCol w:w="650"/>
        <w:gridCol w:w="2102"/>
      </w:tblGrid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1.1.1.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Приміщення і територія закладу освіти є безпечними та комфортними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для навчання та праці</w:t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1.1.1.1.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Облаштування території закладу  та розташування приміщень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є безпечними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з/п</w:t>
            </w:r>
          </w:p>
        </w:tc>
        <w:tc>
          <w:tcPr>
            <w:tcW w:w="55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Перелік тверджень</w:t>
            </w:r>
          </w:p>
        </w:tc>
        <w:tc>
          <w:tcPr>
            <w:tcW w:w="6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Так</w:t>
            </w:r>
          </w:p>
        </w:tc>
        <w:tc>
          <w:tcPr>
            <w:tcW w:w="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Ні</w:t>
            </w:r>
          </w:p>
        </w:tc>
        <w:tc>
          <w:tcPr>
            <w:tcW w:w="21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Примітка  (відповідає частково/потребує покращення)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Наявність (справність) огорожі/паркану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Недоступність території для  несанкціонованого заїзду транспортних засобів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Недоступність приміщення для несанкціонованого доступу сторонніх осіб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Обладнано майданчики для здобувачів освіти початкової школи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Облаштовано майданчики для заняття спортом та фізичної активності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Територія безпечна для фізичної активності здобувачів освіти: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справність обладнання;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відсутність пошкоджень покриття майданчиків;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відсутність ям;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відсутність нависання гілок, сухостійних дерев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Територія чиста, охайна, відсутнє нагромадження сміття, будівельних матеріалів, опалого листя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8.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Навчальні приміщення, роздягальні, санітарні вузли для здобувачів освіти початкової школи є непрохідними та недоступними для користування здобувачами освіти інших вікових груп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Навчальні приміщення закладу освіти не розміщені в цокольних та підвальних поверхах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10.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приміщенні закладу освіти забезпечено: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безпечне неслизьке покриття з рельєфним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маркуванням на ганку будівлі закладу освіти,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огородження і зручні поручні вздовж сходів 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забезпечено умови доступності будівлі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контрастне, рельєфне маркування на стінах 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підлозі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контрастні маркування ділянки поручня, які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відповідають першій та останній сходинці маршу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маркування контрастними рельєфними лініями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пішохідних зон у приміщенні закладу освіти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візуалізацію призначення приміщень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вказівники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відсутність захаращення коридорів, рекреацій,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міжсходових клітин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1.1.1.2.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У закладі освіти забезпечується комфортний повітряно-тепловий режим,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належне освітлення, прибирання приміщень, облаштування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та утримання туалетів,  дотримання питного режиму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Повітряно-тепловий режим навчальних приміщень відповідає санітарним вимогам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Виконуються вимоги до режиму освітлення усіх приміщень та території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Забезпечено питний режим (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u w:val="single"/>
                <w:lang w:val="uk-UA" w:eastAsia="en-US" w:bidi="ar-SA"/>
              </w:rPr>
              <w:t>кип’ячена вода,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фасована вода в індивідуальному посуді, вода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 установок із дозованим розливом негазованої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фасованої питної води), централізоване постачання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якісної питної води (питні фонтанчики)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(підкреслити наявне)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Здійснюється щоденне вологе прибирання усіх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приміщень відповідно до санітарних вимог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5.1.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Приміщення їдальні, столи, стільці, місця для видачі готових страв чисті та регулярно миються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5.2.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 рукомийники, вода, мило, рушники (паперові/ електричні)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Облаштовані туалетні кімнати для хлопців та дівчат, працівників закладу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7.1.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Туалетні кімнати забезпечені усім необхідним (закриті кабінки, відповідна кількість унітазів)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7.2.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 рукомийники, вода, мило, туалетний папір, рушники (паперові/електричні)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1.1.1.3.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У закладі освіти забезпечується використання приміщень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і комплектування мережі класів (з урахуванням чисельності здобувачів освіти,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їхніх особливих освітніх потреб, площі приміщень)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Кількість здобувачів освіти не перевищує проєктну потужність приміщення закладу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Усі навчальні приміщення використовуються в освітньому процесі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Відсутні диспропорції у кількості здобувачів освіти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класах однієї паралелі (різниця між найбільшою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 найменшою кількістю учнів у класі на паралелі 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початковій, основній і профільній школі)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1.1.1.4.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У закладі освіти є робочі (персональні робочі) місця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для педагогічних працівників та облаштовані місця відпочинку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для учасників освітнього процесу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Кожен учитель закладу освіти має робоче (персональне робоче) місце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Облаштовані місця для відпочинку у вестибюлі, коридорах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1.1.2.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Заклад освіти забезпечено навчальними та іншими приміщеннями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з відповідним обладнанням, що необхідні для реалізації освітньої програми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uk-UA" w:eastAsia="en-US" w:bidi="ar-SA"/>
              </w:rPr>
            </w:pPr>
            <w:r>
              <w:rPr>
                <w:kern w:val="0"/>
                <w:sz w:val="22"/>
                <w:lang w:val="uk-UA" w:eastAsia="en-US" w:bidi="ar-SA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Індикатор 1.1.2.1.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У закладі освіти є приміщення, необхідні для реалізації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освітньої програми та забезпечення освітнього процесу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Індикатор 1.1.2.2.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Частка навчальних кабінетів початкових класів,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</w:tr>
      <w:tr>
        <w:trPr>
          <w:trHeight w:val="56" w:hRule="atLeast"/>
        </w:trPr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наявні: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(вказати кількість навчальних кабінетів, з  наявних, що відповідають вимогам законодавства та освітній програмі )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актова зала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5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спортивна зала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6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8960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навчальні кабінети: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5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фізики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0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хімії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біології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інформатики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іноземної мови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eastAsia="en-US" w:bidi="ar-SA"/>
              </w:rPr>
              <w:t>майстерні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/кабінети трудового навчання(підкреслити наявне)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інші кабінети (додати з урахуванням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спеціалізації, поглибленого вивчення предметів)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кабінети початкових класів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STEM-лабораторії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Навчальні приміщення закладу освіти забезпечені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доступом до мережі Інтернет, який дає можливість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використовувати електронні освітні платформи,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можливості мережі під час підготовки та проведення  занять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1.1.3.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 надзвичайних ситуацій і дотримуються їх</w:t>
            </w:r>
          </w:p>
        </w:tc>
      </w:tr>
      <w:tr>
        <w:trPr>
          <w:trHeight w:val="838" w:hRule="atLeast"/>
        </w:trPr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1.1.3.1.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У закладі освіти проводяться навчання/ інструктажі з охорони праці, безпеки життєдіяльності, пожежної безпеки, правил поведінки в умовах надзвичайних ситуацій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color w:val="1F497D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Індикатор 1.1.3.2. Учасники освітнього процесу дотримуються вимог щодо охорони праці, безпеки життєдіяльності,  пожежної безпеки, правил поведінки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проводять інструктажі на початку навчальних занять (у кабінетах підвищеного ризику оприлюднено правила поведінки під час навчальних занять)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2.1.</w:t>
            </w:r>
          </w:p>
        </w:tc>
        <w:tc>
          <w:tcPr>
            <w:tcW w:w="896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Учасники освітнього процесу дотримуються вимог щодо:</w:t>
            </w:r>
          </w:p>
        </w:tc>
      </w:tr>
      <w:tr>
        <w:trPr/>
        <w:tc>
          <w:tcPr>
            <w:tcW w:w="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охорони праці, безпеки життєдіяльності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пожежної безпеки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правил поведінки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2.2.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та на його території не порушуються правила заборони куріння, вживання алкогольних напоїв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1.1.5.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У закладі освіти створено умови для здорового харчування</w:t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1.1.5.1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Організація харчування у закладі освіти сприяє формуванню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культури здорового харчування в учнів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Сервірування столів (наявність ложок, виделок, ножів, пиріжкової тарілки, серветок)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Доступність для учасників освітнього процесу щоденного та перспективного меню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 асортименті буфетів відсутні: вироби з кремом,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морозиво, харчові концентрати; м’ясні продукти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промислового та кулінарного виробництва;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рибні продукти промислового та кулінарного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виробництва; продукти (зокрема снеки) 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підвищеним вмістом солі та/або цукрів та/або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синтетичних барвників та ароматизаторів (крім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ваніліну, етилваніліну та ванільного екстракту),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підсолоджувачів, підсилювачів смаку та аромату,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консервантів; продукти з вмістом транс-жирів;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непастеризоване молоко та молочні продукти, що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виготовлені з непастеризованого молока;</w:t>
            </w:r>
            <w:r>
              <w:rPr>
                <w:rFonts w:eastAsia="Calibri" w:cs="Times New Roman"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непастеризовані соки; рибні, м’ясні, плодоовочеві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та інші консерви промислового виробництва, крім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пастеризованих соків промислового виробництва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без додавання цукрів та підсолоджувачів; газовані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напої, зокрема солодкі газовані напої та енергетичні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напої; кава та кавові напої; гриби; продукція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домашнього виробництва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організовуються умови для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забезпечення харчування учнів з особливими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дієтичними потребами, зокрема з непереносимістю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глютену та лактози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потребує покращення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Дотримано санітарно-гігієнічні умови на всіх етапах реалізації буфетної продукції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1.1.6.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У закладі освіти створено умови для безпечного використання мережі  Інтернет, в учасників освітнього процесу формуються навички безпечної поведінки в  Інтернеті</w:t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1.1.6.1.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У закладі освіти застосовуються технічні засоби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та інші інструменти контролю за безпечним користуванням мережею Інтернет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 обмеження доступу до сайтів з небажаним змістом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використовується антивірусне програмне забезпечення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Вимога 1.2.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Створення освітнього середовища, вільного від будь-яких форм насильства та дискримінації</w:t>
      </w:r>
    </w:p>
    <w:tbl>
      <w:tblPr>
        <w:tblStyle w:val="10"/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5535"/>
        <w:gridCol w:w="697"/>
        <w:gridCol w:w="809"/>
        <w:gridCol w:w="1916"/>
      </w:tblGrid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1.2.2.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1.2.2.3.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Учасники освітнього процесу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дотримуються прийнятих у закладі освіти правил поведінки</w:t>
            </w:r>
          </w:p>
        </w:tc>
      </w:tr>
      <w:tr>
        <w:trPr/>
        <w:tc>
          <w:tcPr>
            <w:tcW w:w="67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895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Учасники освітнього процесу взаємодіють на засадах взаємоповаги:</w:t>
            </w:r>
          </w:p>
        </w:tc>
      </w:tr>
      <w:tr>
        <w:trPr/>
        <w:tc>
          <w:tcPr>
            <w:tcW w:w="6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5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 спостерігаються випадки образливої поведінки, прояви фізичного або психологічного  насильства</w:t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5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не застосовують фізичного покарання, психологічного насильства</w:t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2.1.</w:t>
            </w:r>
          </w:p>
        </w:tc>
        <w:tc>
          <w:tcPr>
            <w:tcW w:w="5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та керівництво закладу освіти здійснюють заходи із запобігання порушення правил поведінки</w:t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2.2.</w:t>
            </w:r>
          </w:p>
        </w:tc>
        <w:tc>
          <w:tcPr>
            <w:tcW w:w="5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Відбувається постійне спостереження працівниками закладу за дотриманням правил поведінки учасниками освітнього процесу</w:t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Вимога 1.3.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Формування інклюзивного, розвивального та мотивуючого до навчання освітнього простору  </w:t>
      </w:r>
    </w:p>
    <w:tbl>
      <w:tblPr>
        <w:tblStyle w:val="10"/>
        <w:tblW w:w="9581" w:type="dxa"/>
        <w:jc w:val="left"/>
        <w:tblInd w:w="1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0"/>
        <w:gridCol w:w="5530"/>
        <w:gridCol w:w="690"/>
        <w:gridCol w:w="807"/>
        <w:gridCol w:w="1944"/>
      </w:tblGrid>
      <w:tr>
        <w:trPr/>
        <w:tc>
          <w:tcPr>
            <w:tcW w:w="9581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Критерії 1.3.1.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Приміщення та територія закладу освіти облаштовується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з урахуванням принципів універсального дизайну та розумного пристосування</w:t>
            </w:r>
          </w:p>
        </w:tc>
      </w:tr>
      <w:tr>
        <w:trPr/>
        <w:tc>
          <w:tcPr>
            <w:tcW w:w="9581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1.3.1.1.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У закладі освіти забезпечується архітектурна доступність території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та будівлі для осіб з особливими освітніми потребами</w:t>
            </w:r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>
          <w:trHeight w:val="2051" w:hRule="atLeast"/>
        </w:trPr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Забезпечено безбар’єрний доступ до будівлі,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приміщень закладу освіти: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пологий вхід/пандус/мобільні платформи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дверний прохід, що забезпечує можливість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проїзду візком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можливість безперешкодного пересування між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поверхами для людей з особливими потребами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9581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1.3.1.2.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У закладі освіти приміщення (туалети, їдальня, облаштування коридорів, навчальних кабінетів) і територія (доріжки, ігрові, спортивні майданчики) адаптовані до  використання всіма учасниками освітнього процесу</w:t>
            </w:r>
          </w:p>
        </w:tc>
      </w:tr>
      <w:tr>
        <w:trPr>
          <w:trHeight w:val="1993" w:hRule="atLeast"/>
        </w:trPr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Туалетні кімнати пристосовані для потреб учасників освітнього процесу: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широкий безпороговий прохід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достатня площа туалетної кімнати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наявність поручнів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спеціальне санітарно-технічне обладнання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наявність кнопки виклику для надання допомоги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Можливість вільного та зручного переміщення в навчальному кабінеті та користування меблями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Висота учнівських столів та стільців регулюється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Шафи, полиці, стелажі надійно закріплені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9581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1.3.1.3.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У закладі освіти наявні та використовуються ресурсна кімната,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дидактичні засоби для осіб з особливими освітніми потребами</w:t>
            </w:r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наявна та використовується ресурсна кімната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Оснащення ресурсної кімнати відповідає освітнім, віковим запитам дітей з особливими освітніми потребами з урахуванням індивідуальних програм розвитку, індивідуальних програм для реабілітації дітей-інвалідів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Кабінети вчителя-дефектолога, практичного психолога, навчальні кабінети оснащено дидактичними засобами для роботи з дітьми з особливими освітніми потребами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9581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1.3.4.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Освітнє середовище мотивує здобувачів освіти до оволодіння ключовими компетентностями та наскрізними уміннями, ведення здорового способу життя</w:t>
            </w:r>
          </w:p>
        </w:tc>
      </w:tr>
      <w:tr>
        <w:trPr/>
        <w:tc>
          <w:tcPr>
            <w:tcW w:w="9581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1.3.4.2.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Простір закладу освіти, обладнання, засоби навчання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сприяють формуванню ключових компетентностей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та наскрізних умінь здобувачів освіти</w:t>
            </w:r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Простір закладу містить елементи, осередки, що зацікавлюють здобувачів освіти до пізнавальної діяльності (візуалізація на стінах, підлозі, сходах, інсталяції)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 у закладі освіти обладнання та засоби навчання використовуються у навчально-пізнавальній діяльності здобувачів освіти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9581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1.3.5.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У закладі освіти створено простір інформаційної взаємодії та соціально-культурної комунікації учасників освітнього процесу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(бібліотека, інформаційно-ресурсний  центр тощо)</w:t>
            </w:r>
          </w:p>
        </w:tc>
      </w:tr>
      <w:tr>
        <w:trPr/>
        <w:tc>
          <w:tcPr>
            <w:tcW w:w="9581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1.3.5.1.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lang w:val="uk-UA" w:eastAsia="en-US" w:bidi="ar-SA"/>
              </w:rPr>
              <w:t>Простір і ресурси бібліотеки (інформаційно-ресурсного центру) використовуються для індивідуальної, групової, проєктної та іншої роботи у межах освітнього процесу, різних форм комунікації учасників освітнього процесу</w:t>
            </w:r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Приміщення та облаштування бібліотеки використовуються для проведення навчальних занять, культурно-освітніх заходів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Здобувачі освіти відвідують бібліотеку під час перерв та після уроків, працюють над індивідуальними та груповими завданнями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/>
          <w:sz w:val="28"/>
          <w:szCs w:val="28"/>
        </w:rPr>
      </w:pPr>
      <w:r>
        <w:rPr>
          <w:rFonts w:eastAsia="Calibri" w:cs="Times New Roman" w:ascii="Arial Black" w:hAnsi="Arial Black"/>
          <w:b/>
          <w:sz w:val="28"/>
          <w:szCs w:val="28"/>
        </w:rPr>
        <w:t>ІІ. Система оцінювання здобувачів освіти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Вимога 2.1.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Наявність системи оцінювання результатів навчання учнів, яка забезпечує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справедливе, неупереджене, об’єктивне та доброчесне оцінювання</w:t>
      </w:r>
    </w:p>
    <w:tbl>
      <w:tblPr>
        <w:tblStyle w:val="10"/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1"/>
        <w:gridCol w:w="5891"/>
        <w:gridCol w:w="627"/>
        <w:gridCol w:w="604"/>
        <w:gridCol w:w="1706"/>
      </w:tblGrid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2.1.1 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Учні отримують від педагогічних працівників інформацію про критерії,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правила та процедури оцінювання результатів навчання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Наявність в системі оцінювання закладу компонентів, розроблених педагогічними працівниками.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Наявність в освітній програмі закладу освіти критеріїв, процедур та правил оцінювання.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Оприлюднення на сайті закладу освіти інформації про критерії оцінювання навчальних досягнень учнів.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Систематичність інформування учнів про критерії оцінювання навчальних досягнень при виконанні обов’язкових видів робіт, різних інформаційних формах роботи.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Розуміння учнями пропонованих критеріїв оцінювання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Справедливість оцінювання в закладі освіти.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Поінформованість учнів та батьків про систему оцінювання.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2.1.2.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Система оцінювання в закладі освіти сприяє реалізації компетентнісного підходу до навчання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Спрямованість системи оцінювання результатів навчання учнів на перевірку рівня оволодіння учнями ключовими компетентностями та наскрізними уміннями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Розроблення вчителями компетентнісних завдань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Застосування компетентнісних завдань для оцінювання результатів навчання учнів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Присутність у системі методичної роботи закладу освіти  напрямку, який забезпечує вивчення питань компентісного підходу при оцінюванні навчальних досягнень учнів.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2.1.3.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Учні вважають оцінювання результатів навчання справедливим, неупередженим, об’єктивним, доброчесним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Використання вчителями формувального оцінювання.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Вимога 2.2.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Систематичне відстеження результатів навчання кожного учня та надання йому (за потреби) підтримки в освітньому  процесі</w:t>
      </w:r>
    </w:p>
    <w:tbl>
      <w:tblPr>
        <w:tblStyle w:val="10"/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0"/>
        <w:gridCol w:w="5889"/>
        <w:gridCol w:w="630"/>
        <w:gridCol w:w="603"/>
        <w:gridCol w:w="1707"/>
      </w:tblGrid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2.2.1.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У закладі освіти здійснюється аналіз результатів навчання учнів</w:t>
            </w:r>
          </w:p>
        </w:tc>
      </w:tr>
      <w:tr>
        <w:trPr/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Кореляція підсумкових оцінок, отриманих учнем та результатів моніторингу.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Освітня мета моніторингових досліджень.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Підготовленість аналітичних матеріалів за результатами моніторингу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5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Прийняті рішення про вдосконалення освітньої діяльності за результатами прийнятих рішень на основі проведених моніторингів.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</w:t>
            </w:r>
          </w:p>
        </w:tc>
        <w:tc>
          <w:tcPr>
            <w:tcW w:w="5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Внесення змін вчителями в практику оцінювання навчальних досягнень учнів, якщо були виявлені проблеми з результатами моніторингів.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2.2.2.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У закладі освіти впроваджується система формувального оцінювання</w:t>
            </w:r>
          </w:p>
        </w:tc>
      </w:tr>
      <w:tr>
        <w:trPr/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8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Частина вчителів, які використовують формувальне оцінювання.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Вимога 2.3.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Спрямованість системи оцінювання на формування у здобувачів освіти відповідальності за результати свого навчання, здатності до самооцінювання</w:t>
      </w:r>
    </w:p>
    <w:tbl>
      <w:tblPr>
        <w:tblStyle w:val="10"/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0"/>
        <w:gridCol w:w="5892"/>
        <w:gridCol w:w="627"/>
        <w:gridCol w:w="604"/>
        <w:gridCol w:w="1706"/>
      </w:tblGrid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2.3.1.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Заклад освіти сприяє формуванню у здобувачів освіти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відповідального ставлення до результатів навчання</w:t>
            </w:r>
          </w:p>
        </w:tc>
      </w:tr>
      <w:tr>
        <w:trPr/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Наявність можливості учням вибору в різних видах діяльності.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Проведення в закладі профорієнтаційної роботи.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Розгляд даного питання при проведенні виховних заходів.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5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Відображення даного питання в методичній роботі закладу.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2.3.2.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Заклад освіти забезпечує самооцінювання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та взаємооцінювання здобувачів освіти</w:t>
            </w:r>
          </w:p>
        </w:tc>
      </w:tr>
      <w:tr>
        <w:trPr/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Розгляд даного питання в структурі методичної роботи, у процесі співпраці вчителів.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вчителів, які в освітньому процесі застосовують самооцінювання та взаємооцінювання.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79" w:hRule="atLeast"/>
        </w:trPr>
        <w:tc>
          <w:tcPr>
            <w:tcW w:w="8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Співпраця вчителів та учнів в процесі самооцінювання та взаємооцінювання.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/>
        </w:rPr>
      </w:pPr>
      <w:r>
        <w:rPr>
          <w:rFonts w:eastAsia="Calibri" w:cs="Times New Roman" w:ascii="Arial Black" w:hAnsi="Arial Black"/>
          <w:b/>
          <w:sz w:val="24"/>
          <w:szCs w:val="24"/>
        </w:rPr>
        <w:t>ІІІ. Педагогічна діяльність педагогічних працівників закладу освіти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Вимога 3.1.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учнів </w:t>
      </w:r>
    </w:p>
    <w:tbl>
      <w:tblPr>
        <w:tblStyle w:val="10"/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4"/>
        <w:gridCol w:w="5668"/>
        <w:gridCol w:w="695"/>
        <w:gridCol w:w="663"/>
        <w:gridCol w:w="1939"/>
      </w:tblGrid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3.1.1.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Педагогічні працівники планують свою діяльність, аналізують її результативність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Наявність календарно-тематичних планів у вчителів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Календарно-тематичне планування забезпечує досягнення очікуваних результатів навчання, що передбачені Державним стандартом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загальної середньої освіти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Відповідність структури та обсягу календарно – тематичного плану освітній програмі, робочому навчальному плану.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Відповідність змісту календарно – тематичного планування очікуваним результатам навчально – пізнавальної діяльності учнів згідно навчальних програм предметів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3.1.2.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Працівники освіти застосовують освітні технології,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спрямованих на формування в учнів ключових компетентностей і умінь,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спільних для всіх компетентностей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Реалізація вчителями під час проведення навчальних занять компетентнісного підходу, наскрізних змістових ліній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Сприяння розвитку критичного мислення учнів,   вміння робити висновки, самостійно ухвалювати рішення під час проведення навчальних занять.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3.1.3.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Педагогічні працівники беруть участь у формуванні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та реалізації індивідуальних освітніх траєкторій учнів (за потреби)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Розробка індивідуальних планів для дітей, які цього потребують: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довгострокове лікування;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відстають у навчанні;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випереджають учнів класу.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Використання інших організаційних форм освітнього процесу, крім класно – урочної, для реалізації індивідуальної освітньої траєкторії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3.1.4.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Педагогічні працівники створюють та/або використовують освітні ресурси (електронні презентації, відеоматеріали, методичні розробки, блоги, вебсайти)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Наявність у вчителів публікацій, методичних розробок, матеріалів до навчальних занять.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Формування вчителем власного портфоліо.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Обмін досвідом між вчителями у школі.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3.1.5.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Педагогічні працівники сприяють формуванню суспільних цінностей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у здобувачів освіти у процесі їх навчання, виховання та розвитку.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Формування наскрізного процесу виховання під час проведення навчальних занять.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Поєднання виховного процесу з формуванням наскрізних ключових компетентностей та наскрізних умінь учнів.</w:t>
            </w:r>
            <w:bookmarkStart w:id="0" w:name="_GoBack"/>
            <w:bookmarkEnd w:id="0"/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3.1.6.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Педагогічні працівники використовують інформаційно-комунікаційні (цифрові) технології в освітньому процесі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Володіння педагогічними працівниками навичками впевненого користування комп’ютерними технологіями, офісними програмами.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Використання вчителями ІКТ в освітньому процесі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Вдосконалення вчителями навичок з використання ІКТ.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Вимога 3.2.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Постійне підвищення професійного рівня і педагогічної майстерності педагогічних працівників</w:t>
      </w:r>
    </w:p>
    <w:tbl>
      <w:tblPr>
        <w:tblStyle w:val="10"/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4"/>
        <w:gridCol w:w="5663"/>
        <w:gridCol w:w="695"/>
        <w:gridCol w:w="665"/>
        <w:gridCol w:w="1942"/>
      </w:tblGrid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3.2.1.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Педагогічні працівники забезпечують власний професійний розвиток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і підвищення кваліфікації, у тому числі щодо методик роботи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з дітьми з особливими освітніми проблемами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Використання вчителем різних форм підвищення кваліфікації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Відповідність напрямків підвищенні кваліфікації освітній програмі закладу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Простеження зростання у закладі якісно – кваліфікаційного рівня педагогічних працівників.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3.2.2.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Педагогічні працівники здійснюють інноваційну діяльність,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беруть участь в освітніх проєктах, залучаються до роботи як освітні експерти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Участь педагогічних працівників в інноваційній діяльності.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Результативність роботи інноваційної діяльності вчителя.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Впровадження результатів інноваційної діяльності вчителів  у роботу закладу освіти.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5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Залучення вчителів закладу освіти в якості освітніх експертів до участі в інституційних аудитах.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Вимога 3.3.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Налагодження співпраці з учнями, їх батьками, працівниками закладу освіти</w:t>
      </w:r>
    </w:p>
    <w:tbl>
      <w:tblPr>
        <w:tblStyle w:val="10"/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4"/>
        <w:gridCol w:w="5665"/>
        <w:gridCol w:w="695"/>
        <w:gridCol w:w="664"/>
        <w:gridCol w:w="1941"/>
      </w:tblGrid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3.3.1.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Педагогічні працівники діють на засадах педагогіки партнерства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Використання вчителями під час проведення занять особистісно-орієнтованого підходу у навчанні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Використання вчителями диференційованих завдань.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Можливості розвитку учнів та їх самореалізація під час освітнього процесу.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Забезпечення психологічних комфортних умов навчання під час освітнього процесу.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Реалізація в закладі освіти персоніфікованого підходу у роботі з учнями.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3.3.2.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Педагогічні працівники співпрацюють з батьками учнів  з питань організації освітнього процесу, забезпечують постійний зворотний зв’язок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Системність комунікації вчителів з батьками.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Якість зворотного зв’язку між батьками та педагогами.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3.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Використання для зворотного зв’язку інтерактивних інтернет – платформ, онлайн – ресурсів.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відповідає частково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4.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Відсоток батьків, що позитивно оцінюють результати комунікування.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3.3.3.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У закладі освіти існує практика педагогічного наставництва, взаємонавчання та інших форм професійної співпраці.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Наявність та ефективність наставництва.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1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Вимога 3.4.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Організація педагогічної діяльності та навчання здобувачів освіти на засадах академічної доброчесності</w:t>
      </w:r>
    </w:p>
    <w:tbl>
      <w:tblPr>
        <w:tblStyle w:val="10"/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"/>
        <w:gridCol w:w="5684"/>
        <w:gridCol w:w="692"/>
        <w:gridCol w:w="672"/>
        <w:gridCol w:w="1916"/>
      </w:tblGrid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3.4.1.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Педагогічні працівники під час провадження та наукової (творчої) діяльності дотримуються академічної доброчесності</w:t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Дотримання вчителями норм академічної доброчесності в освітній діяльності.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Розроблення власних дидактичних матеріалів з дотриманням норм академічної доброчесності.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3.4.2.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Педагогічні працівники сприяють дотриманню норм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академічної доброчесності учнями</w:t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Інформування вчителями учасників освітнього процесу про важливість дотримання норм академічної доброчесності.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Розроблення вчителями завдань, які унеможливлюють списування.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/>
        </w:rPr>
      </w:pPr>
      <w:r>
        <w:rPr>
          <w:rFonts w:eastAsia="Calibri" w:cs="Times New Roman" w:ascii="Arial Black" w:hAnsi="Arial Black"/>
          <w:b/>
          <w:sz w:val="24"/>
          <w:szCs w:val="24"/>
        </w:rPr>
        <w:t xml:space="preserve">IV. Управлінські процеси закладу освіти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Вимога 4.2.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Формування відносин довіри, прозорості, дотримання етичних норм  </w:t>
      </w:r>
    </w:p>
    <w:tbl>
      <w:tblPr>
        <w:tblStyle w:val="10"/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5678"/>
        <w:gridCol w:w="692"/>
        <w:gridCol w:w="672"/>
        <w:gridCol w:w="1916"/>
      </w:tblGrid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Критерій 4.2.2.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Заклад освіти оприлюднює інформацію про свою діяльність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на відкритих загальнодоступних ресурсах</w:t>
            </w:r>
          </w:p>
        </w:tc>
      </w:tr>
      <w:tr>
        <w:trPr/>
        <w:tc>
          <w:tcPr>
            <w:tcW w:w="96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Індикатор 4.2.2.1.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24"/>
                <w:szCs w:val="24"/>
                <w:u w:val="none"/>
                <w:lang w:val="uk-UA" w:eastAsia="en-US" w:bidi="ar-SA"/>
              </w:rPr>
              <w:t>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 сайті засновника, сторінки у соціальних мережах)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</w:t>
            </w:r>
          </w:p>
        </w:tc>
        <w:tc>
          <w:tcPr>
            <w:tcW w:w="5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має власний сайт або використовує сайт засновника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</w:t>
            </w:r>
          </w:p>
        </w:tc>
        <w:tc>
          <w:tcPr>
            <w:tcW w:w="5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Інформація, що розміщується на інформаційному стенді, на сайті закладу/сайті засновника містить: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2.1.</w:t>
            </w:r>
          </w:p>
        </w:tc>
        <w:tc>
          <w:tcPr>
            <w:tcW w:w="5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Інформацію відповідно до статті 30 Закону України «Про освіту», що вчасно оновлюється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2.2.</w:t>
            </w:r>
          </w:p>
        </w:tc>
        <w:tc>
          <w:tcPr>
            <w:tcW w:w="5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Правила поведінки у закладі освіти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2.3.</w:t>
            </w:r>
          </w:p>
        </w:tc>
        <w:tc>
          <w:tcPr>
            <w:tcW w:w="5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Актуальну інформацію про діяльність та заплановані заходи закладу освіти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+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1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850" w:gutter="0" w:header="0" w:top="850" w:footer="708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01"/>
    <w:family w:val="swiss"/>
    <w:pitch w:val="variable"/>
  </w:font>
  <w:font w:name="Arial">
    <w:charset w:val="01"/>
    <w:family w:val="swiss"/>
    <w:pitch w:val="variable"/>
  </w:font>
  <w:font w:name="Arial Black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1096520"/>
    </w:sdtPr>
    <w:sdtContent>
      <w:p>
        <w:pPr>
          <w:pStyle w:val="Style3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752e4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f752e4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f752e4"/>
    <w:rPr/>
  </w:style>
  <w:style w:type="character" w:styleId="1" w:customStyle="1">
    <w:name w:val="Гиперссылка1"/>
    <w:basedOn w:val="DefaultParagraphFont"/>
    <w:uiPriority w:val="99"/>
    <w:unhideWhenUsed/>
    <w:qFormat/>
    <w:rsid w:val="00f752e4"/>
    <w:rPr>
      <w:color w:val="0000FF"/>
      <w:u w:val="single"/>
    </w:rPr>
  </w:style>
  <w:style w:type="character" w:styleId="Style17">
    <w:name w:val="Гіперпосилання"/>
    <w:basedOn w:val="DefaultParagraphFont"/>
    <w:uiPriority w:val="99"/>
    <w:semiHidden/>
    <w:unhideWhenUsed/>
    <w:rsid w:val="00f752e4"/>
    <w:rPr>
      <w:color w:val="0563C1" w:themeColor="hyperlink"/>
      <w:u w:val="single"/>
    </w:rPr>
  </w:style>
  <w:style w:type="character" w:styleId="Style18">
    <w:name w:val="Тема примітки Знак"/>
    <w:qFormat/>
    <w:rPr>
      <w:b/>
      <w:bCs/>
      <w:sz w:val="20"/>
      <w:szCs w:val="20"/>
    </w:rPr>
  </w:style>
  <w:style w:type="character" w:styleId="Style19">
    <w:name w:val="Текст примітки Знак"/>
    <w:qFormat/>
    <w:rPr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20">
    <w:name w:val="Текст у виносці Знак"/>
    <w:qFormat/>
    <w:rPr>
      <w:rFonts w:ascii="Tahoma" w:hAnsi="Tahoma" w:cs="Tahoma"/>
      <w:sz w:val="16"/>
      <w:szCs w:val="16"/>
    </w:rPr>
  </w:style>
  <w:style w:type="character" w:styleId="Style21">
    <w:name w:val="Нижній колонтитул Знак"/>
    <w:qFormat/>
    <w:rPr/>
  </w:style>
  <w:style w:type="character" w:styleId="Style22">
    <w:name w:val="Верхній колонтитул Знак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752e4"/>
    <w:pPr>
      <w:spacing w:lineRule="auto" w:line="276"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752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Верхній і нижній колонтитули"/>
    <w:basedOn w:val="Normal"/>
    <w:qFormat/>
    <w:pPr/>
    <w:rPr/>
  </w:style>
  <w:style w:type="paragraph" w:styleId="Style29">
    <w:name w:val="Header"/>
    <w:basedOn w:val="Normal"/>
    <w:link w:val="a8"/>
    <w:uiPriority w:val="99"/>
    <w:unhideWhenUsed/>
    <w:rsid w:val="00f752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a"/>
    <w:uiPriority w:val="99"/>
    <w:unhideWhenUsed/>
    <w:rsid w:val="00f752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752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31">
    <w:name w:val="Вміст таблиці"/>
    <w:basedOn w:val="Normal"/>
    <w:qFormat/>
    <w:pPr>
      <w:widowControl w:val="false"/>
      <w:suppressLineNumbers/>
    </w:pPr>
    <w:rPr/>
  </w:style>
  <w:style w:type="paragraph" w:styleId="Style32">
    <w:name w:val="Заголовок таблиці"/>
    <w:basedOn w:val="Style31"/>
    <w:qFormat/>
    <w:pPr>
      <w:suppressLineNumbers/>
      <w:jc w:val="center"/>
    </w:pPr>
    <w:rPr>
      <w:b/>
      <w:bCs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uk-UA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f752e4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f752e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-441">
    <w:name w:val="Таблица-сетка 4 — акцент 41"/>
    <w:basedOn w:val="a1"/>
    <w:uiPriority w:val="49"/>
    <w:rsid w:val="00f752e4"/>
    <w:pPr>
      <w:spacing w:after="0" w:line="240" w:lineRule="auto"/>
    </w:pPr>
    <w:tblPr>
      <w:tblStyleRowBandSize w:val="1"/>
      <w:tblStyleColBandSize w:val="1"/>
      <w:tblBorders>
        <w:top w:val="single" w:color="B2A1C7" w:sz="4" w:space="0"/>
        <w:left w:val="single" w:color="B2A1C7" w:sz="4" w:space="0"/>
        <w:bottom w:val="single" w:color="B2A1C7" w:sz="4" w:space="0"/>
        <w:right w:val="single" w:color="B2A1C7" w:sz="4" w:space="0"/>
        <w:insideH w:val="single" w:color="B2A1C7" w:sz="4" w:space="0"/>
        <w:insideV w:val="single" w:color="B2A1C7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color="8064A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11">
    <w:name w:val="Сетка таблицы11"/>
    <w:basedOn w:val="a1"/>
    <w:uiPriority w:val="59"/>
    <w:rsid w:val="00f752e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39"/>
    <w:rsid w:val="00f752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44">
    <w:name w:val="Grid Table 4 Accent 4"/>
    <w:basedOn w:val="a1"/>
    <w:uiPriority w:val="49"/>
    <w:rsid w:val="00f752e4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LibreOffice/7.2.2.2$Windows_X86_64 LibreOffice_project/02b2acce88a210515b4a5bb2e46cbfb63fe97d56</Application>
  <AppVersion>15.0000</AppVersion>
  <Pages>12</Pages>
  <Words>2793</Words>
  <Characters>20176</Characters>
  <CharactersWithSpaces>22388</CharactersWithSpaces>
  <Paragraphs>638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Софія</dc:creator>
  <dc:description/>
  <dc:language>uk-UA</dc:language>
  <cp:lastModifiedBy/>
  <dcterms:modified xsi:type="dcterms:W3CDTF">2023-02-05T18:46:42Z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