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36"/>
          <w:szCs w:val="36"/>
        </w:rPr>
      </w:pPr>
      <w:r>
        <w:rPr>
          <w:rFonts w:eastAsia="Calibri" w:cs="Times New Roman" w:ascii="Times New Roman" w:hAnsi="Times New Roman"/>
          <w:b/>
          <w:sz w:val="36"/>
          <w:szCs w:val="36"/>
        </w:rPr>
        <w:t>ЗВІТ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36"/>
          <w:szCs w:val="36"/>
        </w:rPr>
      </w:pPr>
      <w:r>
        <w:rPr>
          <w:rFonts w:eastAsia="Calibri" w:cs="Times New Roman" w:ascii="Times New Roman" w:hAnsi="Times New Roman"/>
          <w:b/>
          <w:sz w:val="36"/>
          <w:szCs w:val="36"/>
        </w:rPr>
        <w:t>про проведення самооцінювання якості освіти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36"/>
          <w:szCs w:val="36"/>
        </w:rPr>
      </w:pPr>
      <w:r>
        <w:rPr>
          <w:rFonts w:eastAsia="Calibri" w:cs="Times New Roman" w:ascii="Times New Roman" w:hAnsi="Times New Roman"/>
          <w:b/>
          <w:sz w:val="36"/>
          <w:szCs w:val="36"/>
        </w:rPr>
        <w:t>Грімненського ЗЗСО І-ІІІ ступенів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36"/>
          <w:szCs w:val="36"/>
        </w:rPr>
      </w:pPr>
      <w:r>
        <w:rPr>
          <w:rFonts w:eastAsia="Calibri" w:cs="Times New Roman" w:ascii="Times New Roman" w:hAnsi="Times New Roman"/>
          <w:b/>
          <w:sz w:val="36"/>
          <w:szCs w:val="36"/>
        </w:rPr>
        <w:t>у  2022 р.</w:t>
      </w:r>
    </w:p>
    <w:tbl>
      <w:tblPr>
        <w:tblStyle w:val="1"/>
        <w:tblW w:w="10315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54"/>
        <w:gridCol w:w="5440"/>
        <w:gridCol w:w="1421"/>
      </w:tblGrid>
      <w:tr>
        <w:trPr/>
        <w:tc>
          <w:tcPr>
            <w:tcW w:w="88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uk-UA" w:eastAsia="en-US" w:bidi="ar-SA"/>
              </w:rPr>
              <w:t>Напрями та вимоги для самооцінювання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315" w:type="dxa"/>
            <w:gridSpan w:val="3"/>
            <w:tcBorders/>
            <w:shd w:fill="DEE6E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71" w:after="171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1. Освітнє середовище закладу освіти</w:t>
            </w:r>
          </w:p>
        </w:tc>
      </w:tr>
      <w:tr>
        <w:trPr>
          <w:trHeight w:val="86" w:hRule="atLeast"/>
        </w:trPr>
        <w:tc>
          <w:tcPr>
            <w:tcW w:w="345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 Освітнє середовище закладу освіти</w:t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1.1.Забезпечення здорових, безпечних і комфортних умов навчання та праці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3.75</w:t>
            </w:r>
          </w:p>
        </w:tc>
      </w:tr>
      <w:tr>
        <w:trPr>
          <w:trHeight w:val="84" w:hRule="atLeast"/>
        </w:trPr>
        <w:tc>
          <w:tcPr>
            <w:tcW w:w="345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1.2.Створення освітнього середовища, вільного від будь- яких форм насильства та дискримінації 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3.77</w:t>
            </w:r>
          </w:p>
        </w:tc>
      </w:tr>
      <w:tr>
        <w:trPr>
          <w:trHeight w:val="84" w:hRule="atLeast"/>
        </w:trPr>
        <w:tc>
          <w:tcPr>
            <w:tcW w:w="345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1.3.Формування інклюзивного, розвивального та мотивуючого до навчання освітнього простору  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3.08</w:t>
            </w:r>
          </w:p>
        </w:tc>
      </w:tr>
      <w:tr>
        <w:trPr>
          <w:trHeight w:val="84" w:hRule="atLeast"/>
        </w:trPr>
        <w:tc>
          <w:tcPr>
            <w:tcW w:w="10315" w:type="dxa"/>
            <w:gridSpan w:val="3"/>
            <w:tcBorders/>
            <w:shd w:fill="DEE6E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71" w:after="171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2. Система оцінювання здобувачів освіти</w:t>
            </w:r>
          </w:p>
        </w:tc>
      </w:tr>
      <w:tr>
        <w:trPr>
          <w:trHeight w:val="56" w:hRule="atLeast"/>
        </w:trPr>
        <w:tc>
          <w:tcPr>
            <w:tcW w:w="345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 Система оцінювання здобувачів освіти</w:t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2.1.Наявність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3.75</w:t>
            </w:r>
          </w:p>
        </w:tc>
      </w:tr>
      <w:tr>
        <w:trPr>
          <w:trHeight w:val="54" w:hRule="atLeast"/>
        </w:trPr>
        <w:tc>
          <w:tcPr>
            <w:tcW w:w="345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2.2.Систематичне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3.67</w:t>
            </w:r>
          </w:p>
        </w:tc>
      </w:tr>
      <w:tr>
        <w:trPr>
          <w:trHeight w:val="54" w:hRule="atLeast"/>
        </w:trPr>
        <w:tc>
          <w:tcPr>
            <w:tcW w:w="345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2.3.Спрямованість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3.33</w:t>
            </w:r>
          </w:p>
        </w:tc>
      </w:tr>
      <w:tr>
        <w:trPr>
          <w:trHeight w:val="54" w:hRule="atLeast"/>
        </w:trPr>
        <w:tc>
          <w:tcPr>
            <w:tcW w:w="10315" w:type="dxa"/>
            <w:gridSpan w:val="3"/>
            <w:tcBorders/>
            <w:shd w:fill="DEE6E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71" w:after="171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3. Педагогічна діяльність педагогічних працівників закладу освіти</w:t>
            </w:r>
          </w:p>
        </w:tc>
      </w:tr>
      <w:tr>
        <w:trPr>
          <w:trHeight w:val="46" w:hRule="atLeast"/>
        </w:trPr>
        <w:tc>
          <w:tcPr>
            <w:tcW w:w="345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 Педагогічна діяльність педагогічних працівників закладу освіти</w:t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 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3.33</w:t>
            </w:r>
          </w:p>
        </w:tc>
      </w:tr>
      <w:tr>
        <w:trPr>
          <w:trHeight w:val="43" w:hRule="atLeast"/>
        </w:trPr>
        <w:tc>
          <w:tcPr>
            <w:tcW w:w="345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3.2. Постійне підвищення професійного рівня і педагогічної майстерності педагогічних працівників 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>
          <w:trHeight w:val="43" w:hRule="atLeast"/>
        </w:trPr>
        <w:tc>
          <w:tcPr>
            <w:tcW w:w="345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3.3. Налагодження співпраці з учнями, їх батьками, працівниками закладу освіти  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>
          <w:trHeight w:val="43" w:hRule="atLeast"/>
        </w:trPr>
        <w:tc>
          <w:tcPr>
            <w:tcW w:w="345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3.4. Організація педагогічної діяльності та навчання учнів на засадах академічної доброчесності  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>
          <w:trHeight w:val="43" w:hRule="atLeast"/>
        </w:trPr>
        <w:tc>
          <w:tcPr>
            <w:tcW w:w="10315" w:type="dxa"/>
            <w:gridSpan w:val="3"/>
            <w:tcBorders/>
            <w:shd w:fill="DEE6E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71" w:after="171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4. Управлінські процеси закладу освіти</w:t>
            </w:r>
          </w:p>
        </w:tc>
      </w:tr>
      <w:tr>
        <w:trPr>
          <w:trHeight w:val="38" w:hRule="atLeast"/>
        </w:trPr>
        <w:tc>
          <w:tcPr>
            <w:tcW w:w="345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4. Управлінські процеси закладу освіти</w:t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4.1. Наявність стратегії розвитку та системи планування діяльності закладу, моніторинг виконання поставлених  завдань  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3.89</w:t>
            </w:r>
          </w:p>
        </w:tc>
      </w:tr>
      <w:tr>
        <w:trPr>
          <w:trHeight w:val="38" w:hRule="atLeast"/>
        </w:trPr>
        <w:tc>
          <w:tcPr>
            <w:tcW w:w="345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4.2. Формування відносин довіри, прозорості, дотримання етичних норм  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>
          <w:trHeight w:val="38" w:hRule="atLeast"/>
        </w:trPr>
        <w:tc>
          <w:tcPr>
            <w:tcW w:w="345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4.3. Ефективність кадрової політики та забезпечення можливостей для професійного розвитку педагогічних працівників  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3.6</w:t>
            </w:r>
          </w:p>
        </w:tc>
      </w:tr>
      <w:tr>
        <w:trPr>
          <w:trHeight w:val="38" w:hRule="atLeast"/>
        </w:trPr>
        <w:tc>
          <w:tcPr>
            <w:tcW w:w="345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  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</w:t>
            </w:r>
            <w:bookmarkStart w:id="0" w:name="_GoBack"/>
            <w:bookmarkEnd w:id="0"/>
          </w:p>
        </w:tc>
      </w:tr>
      <w:tr>
        <w:trPr>
          <w:trHeight w:val="38" w:hRule="atLeast"/>
        </w:trPr>
        <w:tc>
          <w:tcPr>
            <w:tcW w:w="345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cc21c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c21c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41f2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3">
    <w:name w:val="Table Grid"/>
    <w:basedOn w:val="a1"/>
    <w:uiPriority w:val="39"/>
    <w:rsid w:val="00441f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LibreOffice/7.2.2.2$Windows_X86_64 LibreOffice_project/02b2acce88a210515b4a5bb2e46cbfb63fe97d56</Application>
  <AppVersion>15.0000</AppVersion>
  <Pages>2</Pages>
  <Words>267</Words>
  <Characters>1996</Characters>
  <CharactersWithSpaces>2238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2022-02-13T11:56:00Z</dcterms:created>
  <dc:creator>Софія</dc:creator>
  <dc:description/>
  <dc:language>uk-UA</dc:language>
  <cp:lastModifiedBy/>
  <cp:lastPrinted>2022-02-14T18:37:00Z</cp:lastPrinted>
  <dcterms:modified xsi:type="dcterms:W3CDTF">2023-02-05T18:51:04Z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