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C9" w:rsidRPr="001223C9" w:rsidRDefault="001223C9" w:rsidP="001223C9">
      <w:pPr>
        <w:spacing w:after="225" w:line="240" w:lineRule="auto"/>
        <w:outlineLvl w:val="0"/>
        <w:rPr>
          <w:rFonts w:ascii="Arial" w:eastAsia="Times New Roman" w:hAnsi="Arial" w:cs="Arial"/>
          <w:b/>
          <w:bCs/>
          <w:kern w:val="36"/>
          <w:sz w:val="39"/>
          <w:szCs w:val="39"/>
          <w:lang w:eastAsia="ru-RU"/>
        </w:rPr>
      </w:pPr>
      <w:r w:rsidRPr="001223C9">
        <w:rPr>
          <w:rFonts w:ascii="Arial" w:eastAsia="Times New Roman" w:hAnsi="Arial" w:cs="Arial"/>
          <w:b/>
          <w:bCs/>
          <w:kern w:val="36"/>
          <w:sz w:val="39"/>
          <w:szCs w:val="39"/>
          <w:lang w:eastAsia="ru-RU"/>
        </w:rPr>
        <w:t>Дистанційне формувальне, поточне та підсумкове оцінювання – роз’яснення МОН</w:t>
      </w:r>
    </w:p>
    <w:p w:rsidR="001223C9" w:rsidRPr="001223C9" w:rsidRDefault="001223C9" w:rsidP="001223C9">
      <w:pPr>
        <w:spacing w:after="0" w:line="360" w:lineRule="atLeast"/>
        <w:rPr>
          <w:rFonts w:ascii="Times New Roman" w:eastAsia="Times New Roman" w:hAnsi="Times New Roman" w:cs="Times New Roman"/>
          <w:color w:val="333333"/>
          <w:sz w:val="18"/>
          <w:szCs w:val="18"/>
          <w:lang w:val="en-US" w:eastAsia="ru-RU"/>
        </w:rPr>
      </w:pPr>
      <w:r>
        <w:rPr>
          <w:rFonts w:ascii="Times New Roman" w:eastAsia="Times New Roman" w:hAnsi="Times New Roman" w:cs="Times New Roman"/>
          <w:noProof/>
          <w:color w:val="333333"/>
          <w:sz w:val="18"/>
          <w:szCs w:val="18"/>
          <w:bdr w:val="none" w:sz="0" w:space="0" w:color="auto" w:frame="1"/>
          <w:lang w:eastAsia="ru-RU"/>
        </w:rPr>
        <w:drawing>
          <wp:inline distT="0" distB="0" distL="0" distR="0">
            <wp:extent cx="1333500" cy="1333500"/>
            <wp:effectExtent l="19050" t="0" r="0" b="0"/>
            <wp:docPr id="1" name="Рисунок 1" descr="Photo of Шкільне життя">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Шкільне життя">
                      <a:hlinkClick r:id="rId5"/>
                    </pic:cNvPr>
                    <pic:cNvPicPr>
                      <a:picLocks noChangeAspect="1" noChangeArrowheads="1"/>
                    </pic:cNvPicPr>
                  </pic:nvPicPr>
                  <pic:blipFill>
                    <a:blip r:embed="rId6"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sidRPr="001223C9">
        <w:rPr>
          <w:rFonts w:ascii="Times New Roman" w:eastAsia="Times New Roman" w:hAnsi="Times New Roman" w:cs="Times New Roman"/>
          <w:color w:val="333333"/>
          <w:sz w:val="18"/>
          <w:lang w:val="en-US" w:eastAsia="ru-RU"/>
        </w:rPr>
        <w:t> </w:t>
      </w:r>
      <w:hyperlink r:id="rId7" w:tooltip="Шкільне життя" w:history="1">
        <w:r w:rsidRPr="001223C9">
          <w:rPr>
            <w:rFonts w:ascii="Times New Roman" w:eastAsia="Times New Roman" w:hAnsi="Times New Roman" w:cs="Times New Roman"/>
            <w:b/>
            <w:bCs/>
            <w:color w:val="333333"/>
            <w:sz w:val="18"/>
            <w:u w:val="single"/>
            <w:lang w:eastAsia="ru-RU"/>
          </w:rPr>
          <w:t>Шкільне</w:t>
        </w:r>
        <w:r w:rsidRPr="001223C9">
          <w:rPr>
            <w:rFonts w:ascii="Times New Roman" w:eastAsia="Times New Roman" w:hAnsi="Times New Roman" w:cs="Times New Roman"/>
            <w:b/>
            <w:bCs/>
            <w:color w:val="333333"/>
            <w:sz w:val="18"/>
            <w:u w:val="single"/>
            <w:lang w:val="en-US" w:eastAsia="ru-RU"/>
          </w:rPr>
          <w:t xml:space="preserve"> </w:t>
        </w:r>
        <w:r w:rsidRPr="001223C9">
          <w:rPr>
            <w:rFonts w:ascii="Times New Roman" w:eastAsia="Times New Roman" w:hAnsi="Times New Roman" w:cs="Times New Roman"/>
            <w:b/>
            <w:bCs/>
            <w:color w:val="333333"/>
            <w:sz w:val="18"/>
            <w:u w:val="single"/>
            <w:lang w:eastAsia="ru-RU"/>
          </w:rPr>
          <w:t>життя</w:t>
        </w:r>
      </w:hyperlink>
      <w:r w:rsidRPr="001223C9">
        <w:rPr>
          <w:rFonts w:ascii="Times New Roman" w:eastAsia="Times New Roman" w:hAnsi="Times New Roman" w:cs="Times New Roman"/>
          <w:color w:val="333333"/>
          <w:sz w:val="18"/>
          <w:lang w:val="en-US" w:eastAsia="ru-RU"/>
        </w:rPr>
        <w:t> </w:t>
      </w:r>
      <w:hyperlink r:id="rId8" w:tgtFrame="_blank" w:tooltip="Follow on Twitter" w:history="1">
        <w:r w:rsidRPr="001223C9">
          <w:rPr>
            <w:rFonts w:ascii="Times New Roman" w:eastAsia="Times New Roman" w:hAnsi="Times New Roman" w:cs="Times New Roman"/>
            <w:color w:val="333333"/>
            <w:sz w:val="18"/>
            <w:u w:val="single"/>
            <w:lang w:val="en-US" w:eastAsia="ru-RU"/>
          </w:rPr>
          <w:t> </w:t>
        </w:r>
        <w:r w:rsidRPr="001223C9">
          <w:rPr>
            <w:rFonts w:ascii="Times New Roman" w:eastAsia="Times New Roman" w:hAnsi="Times New Roman" w:cs="Times New Roman"/>
            <w:color w:val="333333"/>
            <w:sz w:val="18"/>
            <w:lang w:val="en-US" w:eastAsia="ru-RU"/>
          </w:rPr>
          <w:t>Follow on Twitter</w:t>
        </w:r>
      </w:hyperlink>
      <w:hyperlink r:id="rId9" w:tgtFrame="_blank" w:tooltip="Send an email" w:history="1">
        <w:r w:rsidRPr="001223C9">
          <w:rPr>
            <w:rFonts w:ascii="Times New Roman" w:eastAsia="Times New Roman" w:hAnsi="Times New Roman" w:cs="Times New Roman"/>
            <w:color w:val="333333"/>
            <w:sz w:val="18"/>
            <w:lang w:val="en-US" w:eastAsia="ru-RU"/>
          </w:rPr>
          <w:t>Send an email</w:t>
        </w:r>
      </w:hyperlink>
      <w:r w:rsidRPr="001223C9">
        <w:rPr>
          <w:rFonts w:ascii="Times New Roman" w:eastAsia="Times New Roman" w:hAnsi="Times New Roman" w:cs="Times New Roman"/>
          <w:color w:val="333333"/>
          <w:sz w:val="18"/>
          <w:lang w:val="en-US" w:eastAsia="ru-RU"/>
        </w:rPr>
        <w:t>16.04.2020</w:t>
      </w:r>
    </w:p>
    <w:p w:rsidR="001223C9" w:rsidRPr="001223C9" w:rsidRDefault="001223C9" w:rsidP="001223C9">
      <w:pPr>
        <w:spacing w:after="0" w:line="360" w:lineRule="atLeast"/>
        <w:rPr>
          <w:rFonts w:ascii="Times New Roman" w:eastAsia="Times New Roman" w:hAnsi="Times New Roman" w:cs="Times New Roman"/>
          <w:color w:val="333333"/>
          <w:sz w:val="18"/>
          <w:szCs w:val="18"/>
          <w:lang w:eastAsia="ru-RU"/>
        </w:rPr>
      </w:pPr>
      <w:r w:rsidRPr="001223C9">
        <w:rPr>
          <w:rFonts w:ascii="Times New Roman" w:eastAsia="Times New Roman" w:hAnsi="Times New Roman" w:cs="Times New Roman"/>
          <w:color w:val="F47512"/>
          <w:sz w:val="18"/>
          <w:lang w:val="en-US" w:eastAsia="ru-RU"/>
        </w:rPr>
        <w:t> </w:t>
      </w:r>
      <w:r w:rsidRPr="001223C9">
        <w:rPr>
          <w:rFonts w:ascii="Times New Roman" w:eastAsia="Times New Roman" w:hAnsi="Times New Roman" w:cs="Times New Roman"/>
          <w:color w:val="F47512"/>
          <w:sz w:val="18"/>
          <w:lang w:eastAsia="ru-RU"/>
        </w:rPr>
        <w:t>1 545</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Оцінювання є невід’ємною частиною процесу навчання, дистанційне навчання не є винятком.</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Для учнів 1-2-х та 3-х пілотних класів початкової школи застосовується формувальне та підсумкове оцінювання. Для учнів 3-4-х класів початкової школи, базової та профільної школи – поточне, формувальне та підсумкове (тематичне, семестрове, річне) оцінювання.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Оцінювання результатів навчальної діяльності може здійснюватись у синхронному або асинхронному режимі.</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Синхронний режим дозволяє забезпечити більш об’єктивне оцінювання, проте вимагає відповідного технічного забезпечення у вчителя та всіх учнів. 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У синхронному режимі учні можуть:</w:t>
      </w:r>
    </w:p>
    <w:p w:rsidR="001223C9" w:rsidRPr="001223C9" w:rsidRDefault="001223C9" w:rsidP="001223C9">
      <w:pPr>
        <w:numPr>
          <w:ilvl w:val="0"/>
          <w:numId w:val="1"/>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тести на платформах Google Клас, Naurok , Moodle тощо за вибором вчителя та з урахуванням можливостей учня;</w:t>
      </w:r>
    </w:p>
    <w:p w:rsidR="001223C9" w:rsidRPr="001223C9" w:rsidRDefault="001223C9" w:rsidP="001223C9">
      <w:pPr>
        <w:numPr>
          <w:ilvl w:val="0"/>
          <w:numId w:val="1"/>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письмові роботи, у тому числі диктанти, із використанням відеоінструментів Skype, Zoom тощо;</w:t>
      </w:r>
    </w:p>
    <w:p w:rsidR="001223C9" w:rsidRPr="001223C9" w:rsidRDefault="001223C9" w:rsidP="001223C9">
      <w:pPr>
        <w:numPr>
          <w:ilvl w:val="0"/>
          <w:numId w:val="1"/>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брати участь в усних формах контролю (усний переказ, читання напам’ять вірша та прозових текстів, презентація та захист проектів тощо) із використанням відеоінструментів Skype, Zoom індивідуально або в групах;</w:t>
      </w:r>
    </w:p>
    <w:p w:rsidR="001223C9" w:rsidRPr="001223C9" w:rsidRDefault="001223C9" w:rsidP="001223C9">
      <w:pPr>
        <w:numPr>
          <w:ilvl w:val="0"/>
          <w:numId w:val="1"/>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брати участь в онлайн-семінарах та онлайн-форумах із використанням відеоінструментів Skype, Zoom або в чатах на платформах дистанційного навчання (наприклад, moodle) у закритих групах Facebook та ін.;</w:t>
      </w:r>
    </w:p>
    <w:p w:rsidR="001223C9" w:rsidRPr="001223C9" w:rsidRDefault="001223C9" w:rsidP="001223C9">
      <w:pPr>
        <w:numPr>
          <w:ilvl w:val="0"/>
          <w:numId w:val="1"/>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інші завдання, які пропонує вчитель.</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відеозв’язку.</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lastRenderedPageBreak/>
        <w:t>В асинхронному режимі учні можуть:</w:t>
      </w:r>
    </w:p>
    <w:p w:rsidR="001223C9" w:rsidRPr="001223C9" w:rsidRDefault="001223C9" w:rsidP="001223C9">
      <w:pPr>
        <w:numPr>
          <w:ilvl w:val="0"/>
          <w:numId w:val="2"/>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завдання на одній з платформ (Google Клас, Naurok , Moodle та ін. за вибором вчителя);</w:t>
      </w:r>
    </w:p>
    <w:p w:rsidR="001223C9" w:rsidRPr="001223C9" w:rsidRDefault="001223C9" w:rsidP="001223C9">
      <w:pPr>
        <w:numPr>
          <w:ilvl w:val="0"/>
          <w:numId w:val="2"/>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месенджерів (Viber, вотсап, facebook тощо) або іншими засобами поштового зв’язку (за відсутністю технічних засобів навчання або доступу до мережі Інтернет);</w:t>
      </w:r>
    </w:p>
    <w:p w:rsidR="001223C9" w:rsidRPr="001223C9" w:rsidRDefault="001223C9" w:rsidP="001223C9">
      <w:pPr>
        <w:numPr>
          <w:ilvl w:val="0"/>
          <w:numId w:val="2"/>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писати диктанти з використанням аудіо або відеозаписів, створених та надісланих вчителем;</w:t>
      </w:r>
    </w:p>
    <w:p w:rsidR="001223C9" w:rsidRPr="001223C9" w:rsidRDefault="001223C9" w:rsidP="001223C9">
      <w:pPr>
        <w:numPr>
          <w:ilvl w:val="0"/>
          <w:numId w:val="2"/>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знімати на відео або записувати аудіо усних відповідей та надсилати файли вчителю засобами електронного зв’язку;</w:t>
      </w:r>
    </w:p>
    <w:p w:rsidR="001223C9" w:rsidRPr="001223C9" w:rsidRDefault="001223C9" w:rsidP="001223C9">
      <w:pPr>
        <w:numPr>
          <w:ilvl w:val="0"/>
          <w:numId w:val="2"/>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виконувати інші завдання, запропоновані учителем.</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смс-повідомлення, повідомлення в одному з месенджерів, повідомлення по телефону тощо). Оприлюднення списку оцінок для всього класу є неприпустимим.</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1223C9" w:rsidRPr="001223C9" w:rsidRDefault="001223C9" w:rsidP="001223C9">
      <w:pPr>
        <w:spacing w:after="0"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b/>
          <w:bCs/>
          <w:color w:val="2C2F34"/>
          <w:sz w:val="21"/>
          <w:lang w:eastAsia="ru-RU"/>
        </w:rPr>
        <w:t>Поточне та формувальне оцінювання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проекти,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Якщо вчитель застосовує одну з платформ для дистанційного навчання (Google Клас, Naurok , Moodle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самооцінювання успішності оволодіння навчальним матеріалом.</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lastRenderedPageBreak/>
        <w:t>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Google Клас, moodle та інші, один із месенжерів (Viber, Facebook, WhatsApp тощо).</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Усні завдання можуть бути оцінені учителем безпосередньо через Skype, Zoom або будь-який месенджер, що забезпечує відеозв’язок у синхронному режимі або перевірені опосередкованим способом через відео або аудіо файли, надіслані учнями на пошту вчителя.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За відсутності засобів Інтернет-зв’язку, зворотній зв’язок з учнями вчитель може підтримувати в телефонному режимі, а виконані завдання отримувати поштою.</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Учитель може організувати самооцінювання учнями успішності своєї роботи, надіславши їм ключі для самоперевірки (після виконання роботи), критерії оцінювання та самооцінювання творчих робіт тощо.</w:t>
      </w:r>
    </w:p>
    <w:p w:rsidR="001223C9" w:rsidRPr="001223C9" w:rsidRDefault="001223C9" w:rsidP="001223C9">
      <w:pPr>
        <w:spacing w:after="0"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b/>
          <w:bCs/>
          <w:color w:val="2C2F34"/>
          <w:sz w:val="21"/>
          <w:lang w:eastAsia="ru-RU"/>
        </w:rPr>
        <w:t>Підсумкове оцінювання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екстернатної, педагогічного патронажу).</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II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 Рекомендовано попередньо надіслати учням графік проведення всіх видів оцінювання, у якому буде зазначатися:</w:t>
      </w:r>
    </w:p>
    <w:p w:rsidR="001223C9" w:rsidRPr="001223C9" w:rsidRDefault="001223C9" w:rsidP="001223C9">
      <w:pPr>
        <w:numPr>
          <w:ilvl w:val="0"/>
          <w:numId w:val="3"/>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форма та вид оцінювання з кожного навчального предмета;</w:t>
      </w:r>
    </w:p>
    <w:p w:rsidR="001223C9" w:rsidRPr="001223C9" w:rsidRDefault="001223C9" w:rsidP="001223C9">
      <w:pPr>
        <w:numPr>
          <w:ilvl w:val="0"/>
          <w:numId w:val="3"/>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необхідні для цього ресурси;</w:t>
      </w:r>
    </w:p>
    <w:p w:rsidR="001223C9" w:rsidRPr="001223C9" w:rsidRDefault="001223C9" w:rsidP="001223C9">
      <w:pPr>
        <w:numPr>
          <w:ilvl w:val="0"/>
          <w:numId w:val="3"/>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дата та тривалість проведення оцінювання (для синхронного режиму);</w:t>
      </w:r>
    </w:p>
    <w:p w:rsidR="001223C9" w:rsidRPr="001223C9" w:rsidRDefault="001223C9" w:rsidP="001223C9">
      <w:pPr>
        <w:numPr>
          <w:ilvl w:val="0"/>
          <w:numId w:val="3"/>
        </w:numPr>
        <w:spacing w:after="75" w:line="240" w:lineRule="auto"/>
        <w:ind w:left="300"/>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дата та час розміщення завдань, кінцевий термін та спосіб їх подання (для асинхронного режиму).</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lastRenderedPageBreak/>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Річне оцінювання виставляється з урахуванням результатів оцінювання за перший та другий семестри навчального року.</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Відповідно до наказу МОН від ЗО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Учні 11-х класів складають ДПА у формі зовнішнього незалежного оцінювання (далі – ЗНО) відповідно до Календарного плану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1223C9" w:rsidRPr="001223C9" w:rsidRDefault="001223C9" w:rsidP="001223C9">
      <w:pPr>
        <w:spacing w:after="375"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color w:val="2C2F34"/>
          <w:sz w:val="21"/>
          <w:szCs w:val="21"/>
          <w:lang w:eastAsia="ru-RU"/>
        </w:rPr>
        <w:t>Слід зазначити, що відповідно до статті 17 Закону України «Про повну загальну середню освіту»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w:t>
      </w:r>
    </w:p>
    <w:p w:rsidR="001223C9" w:rsidRPr="001223C9" w:rsidRDefault="001223C9" w:rsidP="001223C9">
      <w:pPr>
        <w:spacing w:after="0" w:line="240" w:lineRule="auto"/>
        <w:rPr>
          <w:rFonts w:ascii="Verdana" w:eastAsia="Times New Roman" w:hAnsi="Verdana" w:cs="Times New Roman"/>
          <w:color w:val="2C2F34"/>
          <w:sz w:val="21"/>
          <w:szCs w:val="21"/>
          <w:lang w:eastAsia="ru-RU"/>
        </w:rPr>
      </w:pPr>
      <w:r w:rsidRPr="001223C9">
        <w:rPr>
          <w:rFonts w:ascii="Verdana" w:eastAsia="Times New Roman" w:hAnsi="Verdana" w:cs="Times New Roman"/>
          <w:b/>
          <w:bCs/>
          <w:color w:val="2C2F34"/>
          <w:sz w:val="21"/>
          <w:lang w:eastAsia="ru-RU"/>
        </w:rPr>
        <w:t>Джерело:</w:t>
      </w:r>
      <w:hyperlink r:id="rId10" w:history="1">
        <w:r w:rsidRPr="001223C9">
          <w:rPr>
            <w:rFonts w:ascii="Verdana" w:eastAsia="Times New Roman" w:hAnsi="Verdana" w:cs="Times New Roman"/>
            <w:color w:val="D3170A"/>
            <w:sz w:val="21"/>
            <w:u w:val="single"/>
            <w:lang w:eastAsia="ru-RU"/>
          </w:rPr>
          <w:t> </w:t>
        </w:r>
        <w:r w:rsidRPr="001223C9">
          <w:rPr>
            <w:rFonts w:ascii="Verdana" w:eastAsia="Times New Roman" w:hAnsi="Verdana" w:cs="Times New Roman"/>
            <w:b/>
            <w:bCs/>
            <w:color w:val="D3170A"/>
            <w:sz w:val="21"/>
            <w:lang w:eastAsia="ru-RU"/>
          </w:rPr>
          <w:t>Лист Міністерства освіти і науки України від 16 квітня 2020 р. №1/9-213 «Щодо проведення підсумкового оцінювання та організованого завершення 2019-2020 навчального року»</w:t>
        </w:r>
      </w:hyperlink>
    </w:p>
    <w:p w:rsidR="0027716C" w:rsidRDefault="0027716C"/>
    <w:sectPr w:rsidR="0027716C" w:rsidSect="00277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424D"/>
    <w:multiLevelType w:val="multilevel"/>
    <w:tmpl w:val="CEDA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133AC"/>
    <w:multiLevelType w:val="multilevel"/>
    <w:tmpl w:val="07D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AC16FA"/>
    <w:multiLevelType w:val="multilevel"/>
    <w:tmpl w:val="4934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23C9"/>
    <w:rsid w:val="001223C9"/>
    <w:rsid w:val="00277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6C"/>
  </w:style>
  <w:style w:type="paragraph" w:styleId="1">
    <w:name w:val="heading 1"/>
    <w:basedOn w:val="a"/>
    <w:link w:val="10"/>
    <w:uiPriority w:val="9"/>
    <w:qFormat/>
    <w:rsid w:val="00122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23C9"/>
    <w:rPr>
      <w:rFonts w:ascii="Times New Roman" w:eastAsia="Times New Roman" w:hAnsi="Times New Roman" w:cs="Times New Roman"/>
      <w:b/>
      <w:bCs/>
      <w:kern w:val="36"/>
      <w:sz w:val="48"/>
      <w:szCs w:val="48"/>
      <w:lang w:eastAsia="ru-RU"/>
    </w:rPr>
  </w:style>
  <w:style w:type="character" w:customStyle="1" w:styleId="meta-item">
    <w:name w:val="meta-item"/>
    <w:basedOn w:val="a0"/>
    <w:rsid w:val="001223C9"/>
  </w:style>
  <w:style w:type="character" w:customStyle="1" w:styleId="meta-author-avatar">
    <w:name w:val="meta-author-avatar"/>
    <w:basedOn w:val="a0"/>
    <w:rsid w:val="001223C9"/>
  </w:style>
  <w:style w:type="character" w:styleId="a3">
    <w:name w:val="Hyperlink"/>
    <w:basedOn w:val="a0"/>
    <w:uiPriority w:val="99"/>
    <w:semiHidden/>
    <w:unhideWhenUsed/>
    <w:rsid w:val="001223C9"/>
    <w:rPr>
      <w:color w:val="0000FF"/>
      <w:u w:val="single"/>
    </w:rPr>
  </w:style>
  <w:style w:type="character" w:customStyle="1" w:styleId="meta-author">
    <w:name w:val="meta-author"/>
    <w:basedOn w:val="a0"/>
    <w:rsid w:val="001223C9"/>
  </w:style>
  <w:style w:type="character" w:customStyle="1" w:styleId="screen-reader-text">
    <w:name w:val="screen-reader-text"/>
    <w:basedOn w:val="a0"/>
    <w:rsid w:val="001223C9"/>
  </w:style>
  <w:style w:type="character" w:customStyle="1" w:styleId="date">
    <w:name w:val="date"/>
    <w:basedOn w:val="a0"/>
    <w:rsid w:val="001223C9"/>
  </w:style>
  <w:style w:type="character" w:customStyle="1" w:styleId="meta-views">
    <w:name w:val="meta-views"/>
    <w:basedOn w:val="a0"/>
    <w:rsid w:val="001223C9"/>
  </w:style>
  <w:style w:type="paragraph" w:styleId="a4">
    <w:name w:val="Normal (Web)"/>
    <w:basedOn w:val="a"/>
    <w:uiPriority w:val="99"/>
    <w:semiHidden/>
    <w:unhideWhenUsed/>
    <w:rsid w:val="00122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23C9"/>
    <w:rPr>
      <w:b/>
      <w:bCs/>
    </w:rPr>
  </w:style>
  <w:style w:type="paragraph" w:styleId="a6">
    <w:name w:val="Balloon Text"/>
    <w:basedOn w:val="a"/>
    <w:link w:val="a7"/>
    <w:uiPriority w:val="99"/>
    <w:semiHidden/>
    <w:unhideWhenUsed/>
    <w:rsid w:val="001223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2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5088441">
      <w:bodyDiv w:val="1"/>
      <w:marLeft w:val="0"/>
      <w:marRight w:val="0"/>
      <w:marTop w:val="0"/>
      <w:marBottom w:val="0"/>
      <w:divBdr>
        <w:top w:val="none" w:sz="0" w:space="0" w:color="auto"/>
        <w:left w:val="none" w:sz="0" w:space="0" w:color="auto"/>
        <w:bottom w:val="none" w:sz="0" w:space="0" w:color="auto"/>
        <w:right w:val="none" w:sz="0" w:space="0" w:color="auto"/>
      </w:divBdr>
      <w:divsChild>
        <w:div w:id="1023749080">
          <w:marLeft w:val="0"/>
          <w:marRight w:val="0"/>
          <w:marTop w:val="0"/>
          <w:marBottom w:val="0"/>
          <w:divBdr>
            <w:top w:val="none" w:sz="0" w:space="0" w:color="auto"/>
            <w:left w:val="none" w:sz="0" w:space="0" w:color="auto"/>
            <w:bottom w:val="none" w:sz="0" w:space="0" w:color="auto"/>
            <w:right w:val="none" w:sz="0" w:space="0" w:color="auto"/>
          </w:divBdr>
          <w:divsChild>
            <w:div w:id="2082173087">
              <w:marLeft w:val="0"/>
              <w:marRight w:val="0"/>
              <w:marTop w:val="75"/>
              <w:marBottom w:val="0"/>
              <w:divBdr>
                <w:top w:val="none" w:sz="0" w:space="0" w:color="auto"/>
                <w:left w:val="none" w:sz="0" w:space="0" w:color="auto"/>
                <w:bottom w:val="none" w:sz="0" w:space="0" w:color="auto"/>
                <w:right w:val="none" w:sz="0" w:space="0" w:color="auto"/>
              </w:divBdr>
              <w:divsChild>
                <w:div w:id="14605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choollifeorgua" TargetMode="External"/><Relationship Id="rId3" Type="http://schemas.openxmlformats.org/officeDocument/2006/relationships/settings" Target="settings.xml"/><Relationship Id="rId7" Type="http://schemas.openxmlformats.org/officeDocument/2006/relationships/hyperlink" Target="https://www.schoollife.org.ua/author/adm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choollife.org.ua/author/admin/" TargetMode="External"/><Relationship Id="rId10" Type="http://schemas.openxmlformats.org/officeDocument/2006/relationships/hyperlink" Target="https://www.schoollife.org.ua/shhodo-provedennya-pidsumkovogo-otsinyuvannya-ta-organizovanogo-zavershennya-2019-2020-navchalnogo-roku/" TargetMode="External"/><Relationship Id="rId4" Type="http://schemas.openxmlformats.org/officeDocument/2006/relationships/webSettings" Target="webSettings.xml"/><Relationship Id="rId9" Type="http://schemas.openxmlformats.org/officeDocument/2006/relationships/hyperlink" Target="mailto:admin@schoollife.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8852</Characters>
  <Application>Microsoft Office Word</Application>
  <DocSecurity>0</DocSecurity>
  <Lines>73</Lines>
  <Paragraphs>20</Paragraphs>
  <ScaleCrop>false</ScaleCrop>
  <Company>Home</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Julya</dc:creator>
  <cp:keywords/>
  <dc:description/>
  <cp:lastModifiedBy>Julya</cp:lastModifiedBy>
  <cp:revision>3</cp:revision>
  <dcterms:created xsi:type="dcterms:W3CDTF">2020-04-16T18:32:00Z</dcterms:created>
  <dcterms:modified xsi:type="dcterms:W3CDTF">2020-04-16T18:32:00Z</dcterms:modified>
</cp:coreProperties>
</file>