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bookmarkStart w:id="0" w:name="_GoBack"/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Використання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дидактичних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ігор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для </w:t>
      </w:r>
      <w:proofErr w:type="gram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сенсорного</w:t>
      </w:r>
      <w:proofErr w:type="gram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розвитку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дитини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в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сімейному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вихованні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.</w:t>
      </w:r>
    </w:p>
    <w:bookmarkEnd w:id="0"/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Сенсорний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розвиток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розвиток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відчуттів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сприймань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формування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уявлень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зовнішні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властивості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: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форму,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розмір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положення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просторі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становить фундамент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розумового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розвитку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Чуттєве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виключне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важливе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значення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дошкільному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дитинстві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яке є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найбільш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сприятливим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періодом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формування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вдосконалення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діяльності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органів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чуття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нагромадження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уявлень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оточуючий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світ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Летіть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у </w:t>
      </w:r>
      <w:proofErr w:type="gram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свою</w:t>
      </w:r>
      <w:proofErr w:type="gram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зграйку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да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можливість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 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співставляти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узагальнювати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кольором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вправляти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здатність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розрізняти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насиченістю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Бажано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грали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відразу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декілька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дітей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Приготуйте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24 – 30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: по 4 – 5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насиченістю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7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спектру. На семи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ільцях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розставлених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кімнаті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розкладіть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6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червоного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помаранчевого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жовтого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зеленого, голубого,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синього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фіолетового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по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одній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кожний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стілець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Покажіть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дітям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приготовлені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поясніть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чарівні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чари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полягають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тому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варто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лише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взяти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котрусь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 руку, як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відразу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перетворишся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веселу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пташку такого ж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як та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картка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Роздайте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кожній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одній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картці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Поясніть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коли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ведучий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(на перших порах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роль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доведеться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виконувати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вам)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дасть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команду: “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Летіть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своєї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зграйки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”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,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“пташка” повинна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полетіти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стільця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якому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лежить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картка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відповідного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потім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повернутися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ведучого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взяти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наступну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“пташку”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знову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знайти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схожий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неї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колір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т. д.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Кольори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допоможе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закріпити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уявлення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також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розвинути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вміння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розрізняти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вміння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різних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протягом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1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хвилини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3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певного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правильно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отримує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один бал,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тоді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настає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ваша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черга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зробити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саме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;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помилиться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не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отримує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жодного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балу, але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наступний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все одно переходить до вас.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Повторювати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не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дозволяється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Варто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почати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основних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спектру,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потім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перейти до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ізноманітних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ускладнити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збільшити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кількість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слід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Якого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предмет?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 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час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цієї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вчиться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розрізняти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називати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Для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використовувати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інтер’є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кімнати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також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знаходяться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навколо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вас.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уважно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роздивитися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колір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стелі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вікон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гардин і т. д.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Потім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виберіть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якийсь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об’єкт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попросіть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сказати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складається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відповідає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правильно, то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далі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вибрати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якийсь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предмет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запитати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вас,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повинні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відповісти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Почніть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об’єктів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достатньо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простих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кольором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далі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ускладнюйте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завдання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вибирайте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декількома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відтінками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з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ідкісними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поєднаннями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виникнуть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ускладнення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допомагайте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визначити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колір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предмета,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порівняти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кольором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знайти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якнайточнішу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для кожного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відтінку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lastRenderedPageBreak/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Дорисуй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фігуру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спрямована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закріплення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уявлень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ізноманітні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різновиди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також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розвиває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здатність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розрізняти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;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тренує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дрібну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моторику рук. Для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потрібні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декілька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рисунків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зображенням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сказати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як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називається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дорисувати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Поясніть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час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дорисовування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зменшувати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спотворювати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форму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важко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дається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виконання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цього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завдання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покажіть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як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потрібно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дорисовувати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одній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Коли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дорисує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попросіть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вирі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їх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розкласти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так,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разом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опинилися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фігури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однакової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окремо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квадрати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окремо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ромби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т. д.).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Зверніть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увагу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ізновиди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й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ж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Форми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розвиває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сприйняття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Ви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вибираєте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одну з форм – квадрат,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прямокутник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ромб,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трикутник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круг, овал,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п’ятикутник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трапецію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i/>
          <w:iCs/>
          <w:color w:val="002951"/>
          <w:sz w:val="21"/>
          <w:szCs w:val="21"/>
          <w:lang w:eastAsia="ru-RU"/>
        </w:rPr>
        <w:t>Мета 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за 1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хвилину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3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мають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подібну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форму.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Наприклад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Ви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вибрали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прямокутник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такі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: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книга,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телевізор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шафа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виконала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завдання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правильно,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отримує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1 бал. Теперь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називати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предмет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наступний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учасник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Повторювати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стане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складнішою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встановити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правило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називати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не 3, а 5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аналогічної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той же час.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Другий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варіант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використання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зображень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нагадують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Покажіть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картинки з такими предметами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дивитися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малюнок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) і запитайте,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форми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схожі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  <w:proofErr w:type="gram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Звірята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шикуються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цій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вдосконалюється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вміння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розрізняти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впорядковувати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величиною.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Приготуйте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10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кольорових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картонних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смужок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однакової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ширини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ізняються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довжиною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1 сантиметр (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1 до 10 см ).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Смужки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розкладіть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перед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столі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вертикально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тобто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так,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“ширина”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була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горизонталі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довжина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по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вертикалі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;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дивитися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малюнок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)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розкажіть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 них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казку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: “В одному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лі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жили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були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звірята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були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: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маленькі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великі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Одного разу лев,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цар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звірів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вирішив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зібрати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усіх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мешканців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лісу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визначити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 них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висоти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: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найвищий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я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найнижчий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ібралися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звірі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біля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лева і почали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шикуватися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 ряд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найнижчого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до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найвищого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Штовхалися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сопіли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вишикуватися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так і не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змогли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Допоможи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виконати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завдання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.”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Порадьте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вибрати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спершу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найменшу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смужку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</w:t>
      </w:r>
      <w:proofErr w:type="spellEnd"/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–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найменшу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серед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тих,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залишилися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т. д.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виникнуть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труднощі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поміряти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смужки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Коли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усі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вишикуються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 ряд, запитайте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тварин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його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думку,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міг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би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потрапити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цей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ряд ; нехай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назве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звірів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маленьких,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середніх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великих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висотою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Ту ж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можна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провести,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запитуючи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для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прикладу,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хто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найширший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найтовстіший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)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незалежно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зросту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цьому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випадку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слід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повернути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смужки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90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градусів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ізнялися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одна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шириною.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 </w:t>
      </w:r>
    </w:p>
    <w:p w:rsidR="00DC18C4" w:rsidRPr="00DC18C4" w:rsidRDefault="00DC18C4" w:rsidP="00DC18C4">
      <w:pPr>
        <w:shd w:val="clear" w:color="auto" w:fill="FFFFFF"/>
        <w:spacing w:before="180" w:after="150" w:line="240" w:lineRule="auto"/>
        <w:outlineLvl w:val="0"/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</w:pP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Порівняй</w:t>
      </w:r>
      <w:proofErr w:type="spellEnd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b/>
          <w:bCs/>
          <w:color w:val="002951"/>
          <w:kern w:val="36"/>
          <w:sz w:val="29"/>
          <w:szCs w:val="29"/>
          <w:lang w:eastAsia="ru-RU"/>
        </w:rPr>
        <w:t>предмети</w:t>
      </w:r>
      <w:proofErr w:type="spellEnd"/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lastRenderedPageBreak/>
        <w:t>Гра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спрямована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на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порівняння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предметів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мають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параметри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величини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Перед початком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цієї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гри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бажано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навчити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способу “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порівняння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“.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Приготуйте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предмети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наприклад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дві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книжки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однакової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товщини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але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різного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формату,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дві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пірамідки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широку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вузьку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), два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олівці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(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довгий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короткий) і т.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ін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.</w:t>
      </w:r>
    </w:p>
    <w:p w:rsidR="00DC18C4" w:rsidRPr="00DC18C4" w:rsidRDefault="00DC18C4" w:rsidP="00DC18C4">
      <w:pPr>
        <w:shd w:val="clear" w:color="auto" w:fill="FFFFFF"/>
        <w:spacing w:after="150" w:line="240" w:lineRule="auto"/>
        <w:ind w:firstLine="315"/>
        <w:jc w:val="both"/>
        <w:rPr>
          <w:rFonts w:ascii="Tahoma" w:eastAsia="Times New Roman" w:hAnsi="Tahoma" w:cs="Tahoma"/>
          <w:color w:val="002951"/>
          <w:sz w:val="21"/>
          <w:szCs w:val="21"/>
          <w:lang w:eastAsia="ru-RU"/>
        </w:rPr>
      </w:pP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Покажіть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олівці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запитайте,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</w:t>
      </w:r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др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ізняються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схожі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Потрібно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дитина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визначила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вони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відрізняються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довжиною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подібні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за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товщиною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Потім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їй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порівняти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у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такий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самий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спосіб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книжки,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дві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proofErr w:type="gram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</w:t>
      </w:r>
      <w:proofErr w:type="gram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ірамідки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і т. д.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Якщо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ці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дії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будуть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вдаватися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непогано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,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запропонуйте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порівняти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книжку з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олівцем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чи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якимось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</w:t>
      </w:r>
      <w:proofErr w:type="spellStart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>іншим</w:t>
      </w:r>
      <w:proofErr w:type="spellEnd"/>
      <w:r w:rsidRPr="00DC18C4">
        <w:rPr>
          <w:rFonts w:ascii="Tahoma" w:eastAsia="Times New Roman" w:hAnsi="Tahoma" w:cs="Tahoma"/>
          <w:color w:val="002951"/>
          <w:sz w:val="21"/>
          <w:szCs w:val="21"/>
          <w:lang w:eastAsia="ru-RU"/>
        </w:rPr>
        <w:t xml:space="preserve"> предметом.</w:t>
      </w:r>
    </w:p>
    <w:p w:rsidR="004154A6" w:rsidRDefault="004154A6"/>
    <w:sectPr w:rsidR="0041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C4"/>
    <w:rsid w:val="004154A6"/>
    <w:rsid w:val="00D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GSM-service</dc:creator>
  <cp:lastModifiedBy>GSM-service</cp:lastModifiedBy>
  <cp:revision>1</cp:revision>
  <dcterms:created xsi:type="dcterms:W3CDTF">2021-12-15T10:24:00Z</dcterms:created>
  <dcterms:modified xsi:type="dcterms:W3CDTF">2021-12-15T10:26:00Z</dcterms:modified>
</cp:coreProperties>
</file>