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282" w:rsidRPr="006F7C75" w:rsidRDefault="00EB0AE3" w:rsidP="00A37282">
      <w:pPr>
        <w:shd w:val="clear" w:color="auto" w:fill="FFFFFF"/>
        <w:spacing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fldChar w:fldCharType="begin"/>
      </w:r>
      <w:r>
        <w:instrText xml:space="preserve"> HYPERLINK "https://sch32.edu.vn.ua/prozorist-ta-informatsijna-vidkritist-zakladu/249-materialno-tekhnichne-zabezpechennya-zakladu" </w:instrText>
      </w:r>
      <w:r>
        <w:fldChar w:fldCharType="separate"/>
      </w:r>
      <w:proofErr w:type="spellStart"/>
      <w:r w:rsidR="00A37282" w:rsidRPr="00B0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Матеріально-технічне</w:t>
      </w:r>
      <w:proofErr w:type="spellEnd"/>
      <w:r w:rsidR="00A37282" w:rsidRPr="00B0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37282" w:rsidRPr="00B0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="00A37282" w:rsidRPr="00B0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6F7C75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F2A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7C7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F7C7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F2A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C7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B02A5F" w:rsidRDefault="00B02A5F" w:rsidP="00A37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37282" w:rsidRPr="00B02A5F" w:rsidRDefault="00B02A5F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2A5F">
        <w:rPr>
          <w:rFonts w:ascii="Times New Roman" w:hAnsi="Times New Roman" w:cs="Times New Roman"/>
          <w:sz w:val="28"/>
          <w:szCs w:val="28"/>
          <w:lang w:val="uk-UA"/>
        </w:rPr>
        <w:t>Галичанівський</w:t>
      </w:r>
      <w:proofErr w:type="spellEnd"/>
      <w:r w:rsidRPr="00B02A5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навчально-виховний комплекс</w:t>
      </w:r>
      <w:r w:rsidRPr="00B02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розміщений в будівлях 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шкільний підрозділ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 та 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86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дошкільний підрозділ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 років побудови,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905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приміщення закладу типове, проектна потужність установи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50 учнів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(шкільний підрозділ) і 25 дітей (дошкільний підрозділ) </w:t>
      </w:r>
      <w:r w:rsidR="00A3728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Заклад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розташований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Галичани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вул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Шкільна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Галичанівський</w:t>
      </w:r>
      <w:proofErr w:type="spellEnd"/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НВК 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комунальній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власності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Стан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будівель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задовільний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освітлення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санітарно-гігієнічним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нормам.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одну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наповнюваність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складає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Pr="00BD2CD0" w:rsidRDefault="00A37282" w:rsidP="00BD2CD0">
      <w:pPr>
        <w:jc w:val="both"/>
        <w:rPr>
          <w:color w:val="000000"/>
          <w:sz w:val="28"/>
          <w:szCs w:val="28"/>
          <w:lang w:val="uk-UA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Заклад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Статуту,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затвердженого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Городоцької </w:t>
      </w:r>
      <w:r w:rsidR="00C66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</w:t>
      </w:r>
      <w:r w:rsid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ої ради</w:t>
      </w:r>
      <w:r w:rsidR="00BD2CD0" w:rsidRPr="00B0404D">
        <w:rPr>
          <w:color w:val="000000"/>
          <w:sz w:val="28"/>
          <w:szCs w:val="28"/>
          <w:lang w:val="uk-UA"/>
        </w:rPr>
        <w:t xml:space="preserve">   </w:t>
      </w:r>
      <w:r w:rsidR="00BD2CD0" w:rsidRPr="00BD2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C6689B">
        <w:rPr>
          <w:rFonts w:ascii="Times New Roman" w:hAnsi="Times New Roman" w:cs="Times New Roman"/>
          <w:color w:val="000000"/>
          <w:sz w:val="28"/>
          <w:szCs w:val="28"/>
          <w:lang w:val="uk-UA"/>
        </w:rPr>
        <w:t>112</w:t>
      </w:r>
      <w:r w:rsidR="00BD2CD0" w:rsidRPr="00BD2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BD2CD0" w:rsidRPr="00BD2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 </w:t>
      </w:r>
      <w:r w:rsidR="00C6689B">
        <w:rPr>
          <w:rFonts w:ascii="Times New Roman" w:hAnsi="Times New Roman" w:cs="Times New Roman"/>
          <w:color w:val="000000"/>
          <w:sz w:val="28"/>
          <w:szCs w:val="28"/>
          <w:lang w:val="uk-UA"/>
        </w:rPr>
        <w:t>29</w:t>
      </w:r>
      <w:proofErr w:type="gramEnd"/>
      <w:r w:rsidR="00BD2CD0" w:rsidRPr="00BD2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грудня 20</w:t>
      </w:r>
      <w:r w:rsidR="00C6689B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BD2CD0" w:rsidRPr="00BD2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r w:rsidR="00BD2CD0" w:rsidRPr="00B0404D">
        <w:rPr>
          <w:color w:val="000000"/>
          <w:sz w:val="28"/>
          <w:szCs w:val="28"/>
          <w:lang w:val="uk-UA"/>
        </w:rPr>
        <w:t xml:space="preserve">                              </w:t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r w:rsidR="00BD2CD0">
        <w:rPr>
          <w:color w:val="000000"/>
          <w:sz w:val="28"/>
          <w:szCs w:val="28"/>
          <w:lang w:val="uk-UA"/>
        </w:rPr>
        <w:tab/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Територія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становить </w:t>
      </w:r>
      <w:r w:rsid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6,</w:t>
      </w:r>
      <w:r w:rsidR="00334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C66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частково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огороджена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утримується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задовільному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37282" w:rsidRPr="00B02A5F" w:rsidRDefault="00A37282" w:rsidP="000E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реалізації на</w:t>
      </w:r>
      <w:r w:rsidR="00F5140F"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вчально-виховного процесу в ш</w:t>
      </w:r>
      <w:r w:rsid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кільному підрозділ</w:t>
      </w:r>
      <w:r w:rsid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наявні </w:t>
      </w:r>
      <w:r w:rsid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10</w:t>
      </w:r>
      <w:r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класних кімнат  їдальня на 30 посадочних місць,</w:t>
      </w:r>
      <w:r w:rsid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гандбольний, волейбольний, баскетбольний та ігровий майданчики </w:t>
      </w:r>
      <w:r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площа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спортивного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майданчика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складає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87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м</w:t>
      </w:r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   </w:t>
      </w:r>
      <w:proofErr w:type="gram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10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приміщень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використовується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початкової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для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5-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 </w:t>
      </w:r>
      <w:proofErr w:type="spellStart"/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proofErr w:type="gram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учительську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ігрову кімнату для дітей з особливими освітніми потребами,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директора,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технічного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персоналу,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шкільну бібліотеку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Кож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класна кімната у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комплектован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партами,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стільцями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кожного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столами і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стільцями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кожного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робочого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педагогічного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працівника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класними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дошками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кожної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класної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кімнати</w:t>
      </w:r>
      <w:proofErr w:type="spellEnd"/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Більшість меблів була закуплена у 2019 році.</w:t>
      </w:r>
      <w:r w:rsidRPr="00B02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класній кімнаті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комп’ютерні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596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з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ліцензованим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програмним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забезпеченням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знаходяться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локальній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підключені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Internet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Члени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адміністрації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використовують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сучасни</w:t>
      </w:r>
      <w:proofErr w:type="spellEnd"/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того,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установлено в </w:t>
      </w:r>
      <w:proofErr w:type="spellStart"/>
      <w:r w:rsidR="000E78C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0E78C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0E78C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="000E78C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78C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="000E78C2"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в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бібліотеці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У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працюють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 точки доступу до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Wi-Fi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технології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Стан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комп’ютерною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технікою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відображено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таблиці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1275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9994"/>
        <w:gridCol w:w="1874"/>
      </w:tblGrid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964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9F2A4D" w:rsidRDefault="000E78C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ПК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підрозділу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="009F2A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0E78C2" w:rsidRDefault="00A37282" w:rsidP="006F7C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Принтери</w:t>
            </w:r>
            <w:proofErr w:type="spellEnd"/>
            <w:r w:rsidR="000E78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     </w:t>
            </w:r>
            <w:r w:rsidR="00936F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0E78C2" w:rsidRDefault="00A37282" w:rsidP="006F7C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Сканери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БФП (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принтер+сканер+</w:t>
            </w:r>
            <w:proofErr w:type="gram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ксерокс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0E78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</w:t>
            </w:r>
            <w:r w:rsidR="006F7C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  <w:proofErr w:type="gramEnd"/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0E78C2" w:rsidRDefault="00A37282" w:rsidP="006F7C7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Інтерактивні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комплекси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інтерактивна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дошка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проектор)</w:t>
            </w:r>
            <w:r w:rsidR="000E78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6F7C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0E78C2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Локальна мережа</w:t>
            </w:r>
            <w:r w:rsidR="000E78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1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74%</w:t>
            </w:r>
          </w:p>
        </w:tc>
      </w:tr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0E78C2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ПК,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підключені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Інтернет</w:t>
            </w:r>
            <w:proofErr w:type="spellEnd"/>
            <w:r w:rsidR="000E78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6</w:t>
            </w:r>
            <w:proofErr w:type="gramEnd"/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A37282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2536B0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A37282"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2536B0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один ПК в </w:t>
            </w: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закладі</w:t>
            </w:r>
            <w:proofErr w:type="spellEnd"/>
            <w:r w:rsidR="00253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7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A37282" w:rsidRPr="00B02A5F" w:rsidTr="009F2A4D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2536B0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 w:rsidR="00A37282"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2536B0" w:rsidRDefault="00A37282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02A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Проектори</w:t>
            </w:r>
            <w:proofErr w:type="spellEnd"/>
            <w:r w:rsidR="00253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936F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282" w:rsidRPr="00B02A5F" w:rsidRDefault="00A37282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F2A4D" w:rsidRPr="00B02A5F" w:rsidTr="000E78C2">
        <w:trPr>
          <w:tblCellSpacing w:w="15" w:type="dxa"/>
        </w:trPr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2A4D" w:rsidRDefault="009F2A4D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99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2A4D" w:rsidRPr="009F2A4D" w:rsidRDefault="009F2A4D" w:rsidP="00A37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Хромбуки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6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2A4D" w:rsidRPr="00B02A5F" w:rsidRDefault="009F2A4D" w:rsidP="00A372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Доступ закладу до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надається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провайдером </w:t>
      </w:r>
      <w:r w:rsidR="00506C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ФОП </w:t>
      </w:r>
      <w:proofErr w:type="spellStart"/>
      <w:r w:rsidR="00506C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Мозола</w:t>
      </w:r>
      <w:proofErr w:type="spellEnd"/>
      <w:r w:rsidR="00506C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Н.Я.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швидкістю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0A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Мбіт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/с.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Завдяки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підключенню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електронний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документообіг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r w:rsidR="00EB0A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гуманітарним управлінням Городоцької міської ради,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закладами</w:t>
      </w:r>
      <w:proofErr w:type="gramEnd"/>
      <w:r w:rsidR="00506C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освіти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0F63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Електронна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адреса закладу</w:t>
      </w:r>
      <w:r w:rsidRPr="000A5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5" w:history="1">
        <w:r w:rsidR="000A50C3" w:rsidRPr="00DC0F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klymkovolodymyr@gmail.com</w:t>
        </w:r>
      </w:hyperlink>
      <w:r w:rsidR="000A50C3" w:rsidRPr="00DC0F6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</w:t>
      </w:r>
      <w:r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Сайт закладу:</w:t>
      </w:r>
      <w:r w:rsidR="00C6689B" w:rsidRPr="00C6689B"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C6689B" w:rsidRPr="007C457F">
          <w:rPr>
            <w:rStyle w:val="a3"/>
            <w:sz w:val="28"/>
            <w:szCs w:val="28"/>
            <w:shd w:val="clear" w:color="auto" w:fill="FFFFFF"/>
          </w:rPr>
          <w:t>https://galichani.e-schools.info</w:t>
        </w:r>
      </w:hyperlink>
      <w:r w:rsidR="00C6689B" w:rsidRPr="007C457F">
        <w:rPr>
          <w:sz w:val="28"/>
          <w:szCs w:val="28"/>
          <w:shd w:val="clear" w:color="auto" w:fill="FFFFFF"/>
        </w:rPr>
        <w:t>.</w:t>
      </w:r>
      <w:r w:rsidR="00DC0F63" w:rsidRPr="00DC0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C0F63" w:rsidRPr="00DC0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C0F63" w:rsidRPr="00DC0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C0F63" w:rsidRPr="00DC0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A37282" w:rsidRPr="00DC0F63" w:rsidRDefault="00DC0F63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Основними на</w:t>
      </w:r>
      <w:bookmarkStart w:id="0" w:name="_GoBack"/>
      <w:bookmarkEnd w:id="0"/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прямками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Галичанівського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НВК</w:t>
      </w:r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процесі інформатизації є: інф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ормаційно-технічне забезпечення</w:t>
      </w:r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 підвищення компетентності вчителів і учнів в області сучасних інформаційних технологій; інформатизація навчально-виховного процесу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моніторинг якості освіти; розвиток шкільної  </w:t>
      </w:r>
      <w:proofErr w:type="spellStart"/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медіаосвіти</w:t>
      </w:r>
      <w:proofErr w:type="spellEnd"/>
      <w:r w:rsidR="00A37282"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електронний документообіг; використання інформаційних технологій в освітній статистичній звітності.</w:t>
      </w:r>
    </w:p>
    <w:p w:rsidR="00A37282" w:rsidRPr="00936F50" w:rsidRDefault="00A37282" w:rsidP="00DC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 закладі працює бібліотека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Бібліотечно</w:t>
      </w:r>
      <w:proofErr w:type="spellEnd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-бібліографічний фонд бібліотеки закладу станом на </w:t>
      </w:r>
      <w:r w:rsidR="00596F9A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936F50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.0</w:t>
      </w:r>
      <w:r w:rsidR="00596F9A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.20</w:t>
      </w:r>
      <w:r w:rsidR="00C6689B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9F2A4D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нараховує </w:t>
      </w:r>
      <w:r w:rsidR="00936F50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6064</w:t>
      </w:r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екземпляр</w:t>
      </w:r>
      <w:r w:rsidR="00DC0F63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ів книг</w:t>
      </w:r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З них </w:t>
      </w:r>
      <w:r w:rsidR="00DC0F63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підручники – </w:t>
      </w:r>
      <w:r w:rsidR="00936F50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1850</w:t>
      </w:r>
      <w:r w:rsidR="00DC0F63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(для 1-4 класів – </w:t>
      </w:r>
      <w:r w:rsidR="00596F9A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936F50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180</w:t>
      </w:r>
      <w:r w:rsidR="00DC0F63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для 5-9 класів – </w:t>
      </w:r>
      <w:r w:rsidR="00936F50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670</w:t>
      </w:r>
      <w:r w:rsidR="00DC0F63"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A37282" w:rsidRPr="00936F50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   </w:t>
      </w:r>
      <w:proofErr w:type="spellStart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підручниками</w:t>
      </w:r>
      <w:proofErr w:type="spellEnd"/>
      <w:proofErr w:type="gramEnd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складає</w:t>
      </w:r>
      <w:proofErr w:type="spellEnd"/>
      <w:r w:rsidRPr="00936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90%.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Зазначена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-методична та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довідкова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література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використовується</w:t>
      </w:r>
      <w:proofErr w:type="spellEnd"/>
      <w:proofErr w:type="gram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призначенням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proofErr w:type="gram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літературою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31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26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екз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1 особу.</w:t>
      </w:r>
    </w:p>
    <w:p w:rsidR="00A37282" w:rsidRPr="00B02A5F" w:rsidRDefault="00A37282" w:rsidP="00A37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У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є 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внутрішні</w:t>
      </w:r>
      <w:proofErr w:type="spellEnd"/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proofErr w:type="gram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туалет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площею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35,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 (1 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кабінка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proofErr w:type="gram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дівчат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proofErr w:type="gramEnd"/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1 кабінка для хлопців і 1 кабінка для працівників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DC0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Якість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ремонту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вбиралень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достатня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7282" w:rsidRDefault="00A37282" w:rsidP="0097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В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проведено велику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організаторську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роботу по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естетичному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оформленню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коридорів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класних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кімнат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адміністративних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кімнат</w:t>
      </w:r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влучно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підібрано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кольорову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гаму. В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чітко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простежується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єдиний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підхід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всього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B0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2052E" w:rsidRPr="0012052E" w:rsidRDefault="0012052E" w:rsidP="0012052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lastRenderedPageBreak/>
        <w:tab/>
      </w:r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Освітлення закладу – змішане. Світловий коефіцієнт природного освітлення відповідає санітарним нормам.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навчального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дотримується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лівобічне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природне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освітлення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класних кімнат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Питома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потужність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штучного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освітлення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відповідає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нормативам.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Санітарно-гігієнічні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вимоги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штучного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освітлення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виконуються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У </w:t>
      </w:r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класних кімнатах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створені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належні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санітарно-гігієнічні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умови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здійснення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навчально-виховного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Дотримується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режим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провітрювання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проводиться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вологе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прибирання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згідно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графіком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В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достатній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кількості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інвентар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прибирання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приміщень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який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промаркований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використовується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призначенням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наявності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миючі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дезінфікуючі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засоби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>.</w:t>
      </w:r>
    </w:p>
    <w:p w:rsidR="0012052E" w:rsidRPr="0012052E" w:rsidRDefault="0012052E" w:rsidP="0012052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12052E">
        <w:rPr>
          <w:color w:val="000000"/>
          <w:sz w:val="28"/>
          <w:szCs w:val="28"/>
          <w:bdr w:val="none" w:sz="0" w:space="0" w:color="auto" w:frame="1"/>
        </w:rPr>
        <w:t>Котельн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 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знаход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я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ться</w:t>
      </w:r>
      <w:proofErr w:type="spellEnd"/>
      <w:proofErr w:type="gram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задовільному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стані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У </w:t>
      </w:r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всіх приміщеннях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підтримується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температурний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режим.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підготовки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осінньо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-зимовий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період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своєчасно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було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проведено ре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монт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газових котлів.</w:t>
      </w:r>
    </w:p>
    <w:p w:rsidR="0012052E" w:rsidRPr="0012052E" w:rsidRDefault="0012052E" w:rsidP="001205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052E">
        <w:rPr>
          <w:color w:val="000000"/>
          <w:sz w:val="28"/>
          <w:szCs w:val="28"/>
          <w:bdr w:val="none" w:sz="0" w:space="0" w:color="auto" w:frame="1"/>
        </w:rPr>
        <w:t xml:space="preserve">Заклад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забезпечено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холодною проточною водою. В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приміщенні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рукомийники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2052E" w:rsidRPr="0012052E" w:rsidRDefault="0012052E" w:rsidP="0012052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Системи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водопостачання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електроосвітлення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тепломереж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перебувають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у справному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стані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Будівля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школи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знаходяться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задовільному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технічному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стані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(в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окремих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місцях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стін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тріщини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) та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придатні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подальшої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експлуатації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В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обладнано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централізовану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каналізацію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наявні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вигрібні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ями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>.</w:t>
      </w:r>
    </w:p>
    <w:p w:rsidR="0012052E" w:rsidRPr="0012052E" w:rsidRDefault="0012052E" w:rsidP="0012052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Галичанівський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НВК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повністю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забезпечен</w:t>
      </w:r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первинними 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засобами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пожежогасіння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EB0AE3">
        <w:rPr>
          <w:color w:val="000000"/>
          <w:sz w:val="28"/>
          <w:szCs w:val="28"/>
          <w:bdr w:val="none" w:sz="0" w:space="0" w:color="auto" w:frame="1"/>
          <w:lang w:val="uk-UA"/>
        </w:rPr>
        <w:t>Наявні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вогнегасники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кількість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відповідає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нормативним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вимогам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 </w:t>
      </w:r>
      <w:r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ерезаряджені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придатні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експлуатації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Дерев’яні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конструкції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даху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будівель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оброблені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вогнетривким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розчином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відсутня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пожежна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сигналізація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Загальний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стан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системи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енергозбереження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задовільний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Електрощитові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обладнані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вимог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Електропроводи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розміщені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всередині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приміщення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зовні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в справному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стані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. За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звітний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період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було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проведено ремонт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електрощитової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замінено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вимикачі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замінено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багато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розеток на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сучасні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>.</w:t>
      </w:r>
    </w:p>
    <w:p w:rsidR="0012052E" w:rsidRPr="0012052E" w:rsidRDefault="0012052E" w:rsidP="0097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1C8E" w:rsidRDefault="00976DE7" w:rsidP="006B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Для реалізації навчально-виховного процесу в 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кільному підрозділі</w:t>
      </w:r>
      <w:r w:rsidRPr="00F51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наявні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ігрова кімната (площа – 33,32 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), спальна кімната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площа – 33,04 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), кімната старшої медичної сестри (площа – 15,52 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), кімната для техперсоналу (площа – 24,36 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), ізолятор (площа – 8,06 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), туалет (площа – 10,33 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76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),  ігровий майданчик </w:t>
      </w:r>
      <w:r w:rsidR="006B2F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ноутбук.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B2F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Дошкільний підрозділ забезпечених відповідно до потреби меблями, посудом, матеріалами та інвентар для здійснення навчально-виховної діяльності. Наявні холодильник, пральна машина,  </w:t>
      </w:r>
      <w:proofErr w:type="spellStart"/>
      <w:r w:rsidR="006B2F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порохотяг</w:t>
      </w:r>
      <w:proofErr w:type="spellEnd"/>
      <w:r w:rsidR="006B2F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праска, гаряче і холодне водопостачання. </w:t>
      </w:r>
    </w:p>
    <w:p w:rsidR="006B2FCC" w:rsidRPr="007A5A49" w:rsidRDefault="006B2FCC" w:rsidP="006B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7A5A49" w:rsidRPr="00596F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Для поліпшення навчально-матеріальної бази </w:t>
      </w:r>
      <w:proofErr w:type="spellStart"/>
      <w:r w:rsidR="007A5A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Галичанівського</w:t>
      </w:r>
      <w:proofErr w:type="spellEnd"/>
      <w:r w:rsidR="007A5A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НВК,</w:t>
      </w:r>
      <w:r w:rsidR="007A5A49" w:rsidRPr="00596F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оформлення, покращення санітарно-гігієнічного стану та естетичного вигляду розроблено перспективний план, який неухильно виконується.</w:t>
      </w:r>
      <w:r w:rsidR="007A5A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Зокрема, у 2019 і 2020 роках поступово здійснено капітальний ремонт покрівлі шкільного підрозділу завдяки активній участі в обласному конкурсі </w:t>
      </w:r>
      <w:proofErr w:type="spellStart"/>
      <w:r w:rsidR="007A5A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мікропроєктів</w:t>
      </w:r>
      <w:proofErr w:type="spellEnd"/>
      <w:r w:rsidR="007A5A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EB0AE3" w:rsidRDefault="00EB0AE3" w:rsidP="007A5A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36E91" w:rsidRPr="0012052E" w:rsidRDefault="00736E91" w:rsidP="00736E9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Проблеми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потребують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вирішення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>:</w:t>
      </w:r>
    </w:p>
    <w:p w:rsidR="00736E91" w:rsidRPr="0012052E" w:rsidRDefault="00736E91" w:rsidP="00736E9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052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Потребують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заміни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світильники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економні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>).</w:t>
      </w:r>
    </w:p>
    <w:p w:rsidR="00736E91" w:rsidRPr="0012052E" w:rsidRDefault="00736E91" w:rsidP="00736E9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052E"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Потребує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капітального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ремонту</w:t>
      </w:r>
      <w:r w:rsidR="007A5A49"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фасад шкільного підрозділу.</w:t>
      </w:r>
    </w:p>
    <w:p w:rsidR="00736E91" w:rsidRPr="0012052E" w:rsidRDefault="00736E91" w:rsidP="00736E9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052E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2052E">
        <w:rPr>
          <w:color w:val="000000"/>
          <w:sz w:val="28"/>
          <w:szCs w:val="28"/>
          <w:bdr w:val="none" w:sz="0" w:space="0" w:color="auto" w:frame="1"/>
        </w:rPr>
        <w:t>Потребує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2052E">
        <w:rPr>
          <w:color w:val="000000"/>
          <w:sz w:val="28"/>
          <w:szCs w:val="28"/>
          <w:bdr w:val="none" w:sz="0" w:space="0" w:color="auto" w:frame="1"/>
        </w:rPr>
        <w:t>заміни</w:t>
      </w:r>
      <w:proofErr w:type="spellEnd"/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A5A49"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огорожа</w:t>
      </w:r>
      <w:proofErr w:type="gramEnd"/>
      <w:r w:rsidR="007A5A49" w:rsidRPr="001205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території закладу освіти</w:t>
      </w:r>
      <w:r w:rsidRPr="0012052E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E91" w:rsidRPr="0012052E" w:rsidRDefault="00736E91" w:rsidP="00736E9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052E">
        <w:rPr>
          <w:color w:val="000000"/>
          <w:sz w:val="28"/>
          <w:szCs w:val="28"/>
          <w:bdr w:val="none" w:sz="0" w:space="0" w:color="auto" w:frame="1"/>
        </w:rPr>
        <w:t xml:space="preserve">4. </w:t>
      </w:r>
      <w:r w:rsidR="0012052E"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Закупівля</w:t>
      </w:r>
      <w:r w:rsidRPr="001205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2052E" w:rsidRPr="0012052E">
        <w:rPr>
          <w:color w:val="000000"/>
          <w:sz w:val="28"/>
          <w:szCs w:val="28"/>
          <w:bdr w:val="none" w:sz="0" w:space="0" w:color="auto" w:frame="1"/>
          <w:lang w:val="uk-UA"/>
        </w:rPr>
        <w:t>обладнання для проведення фізики, хімії.</w:t>
      </w:r>
    </w:p>
    <w:sectPr w:rsidR="00736E91" w:rsidRPr="0012052E" w:rsidSect="00B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F0A68"/>
    <w:multiLevelType w:val="multilevel"/>
    <w:tmpl w:val="B80C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04CE2"/>
    <w:multiLevelType w:val="multilevel"/>
    <w:tmpl w:val="A1E0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7390D"/>
    <w:multiLevelType w:val="multilevel"/>
    <w:tmpl w:val="D9F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14751"/>
    <w:multiLevelType w:val="multilevel"/>
    <w:tmpl w:val="495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A0D9B"/>
    <w:multiLevelType w:val="multilevel"/>
    <w:tmpl w:val="2876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F4453"/>
    <w:multiLevelType w:val="multilevel"/>
    <w:tmpl w:val="B9BC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82"/>
    <w:rsid w:val="000A50C3"/>
    <w:rsid w:val="000E78C2"/>
    <w:rsid w:val="0012052E"/>
    <w:rsid w:val="00151C8E"/>
    <w:rsid w:val="002536B0"/>
    <w:rsid w:val="00317789"/>
    <w:rsid w:val="00334C9C"/>
    <w:rsid w:val="005015DF"/>
    <w:rsid w:val="00506CAB"/>
    <w:rsid w:val="00596F9A"/>
    <w:rsid w:val="006B2FCC"/>
    <w:rsid w:val="006F7C75"/>
    <w:rsid w:val="00736E91"/>
    <w:rsid w:val="007A5A49"/>
    <w:rsid w:val="00830581"/>
    <w:rsid w:val="008D50FA"/>
    <w:rsid w:val="008F28B9"/>
    <w:rsid w:val="00936F50"/>
    <w:rsid w:val="00976DE7"/>
    <w:rsid w:val="009F2A4D"/>
    <w:rsid w:val="00A37282"/>
    <w:rsid w:val="00B02A5F"/>
    <w:rsid w:val="00B35847"/>
    <w:rsid w:val="00BB180C"/>
    <w:rsid w:val="00BD2CD0"/>
    <w:rsid w:val="00BF0BF2"/>
    <w:rsid w:val="00C6689B"/>
    <w:rsid w:val="00DC0F63"/>
    <w:rsid w:val="00EB0AE3"/>
    <w:rsid w:val="00F5140F"/>
    <w:rsid w:val="00F6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A33"/>
  <w15:docId w15:val="{2816D666-F9F1-4FD5-9B22-5B73FFE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847"/>
  </w:style>
  <w:style w:type="paragraph" w:styleId="2">
    <w:name w:val="heading 2"/>
    <w:basedOn w:val="a"/>
    <w:link w:val="20"/>
    <w:uiPriority w:val="9"/>
    <w:qFormat/>
    <w:rsid w:val="00A37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372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3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28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305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10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ichani.e-schools.info/" TargetMode="External"/><Relationship Id="rId5" Type="http://schemas.openxmlformats.org/officeDocument/2006/relationships/hyperlink" Target="mailto:klymkovolodymy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4876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Home</cp:lastModifiedBy>
  <cp:revision>19</cp:revision>
  <dcterms:created xsi:type="dcterms:W3CDTF">2020-05-19T08:15:00Z</dcterms:created>
  <dcterms:modified xsi:type="dcterms:W3CDTF">2023-08-31T05:42:00Z</dcterms:modified>
</cp:coreProperties>
</file>