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СХВАЛЕНО                                                            ЗАТВЕРДЖЕНО</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рішенням педагогічної ради                              наказом директора закладу</w:t>
      </w:r>
      <w:r>
        <w:rPr>
          <w:rFonts w:hint="default" w:ascii="Times New Roman" w:hAnsi="Times New Roman" w:eastAsia="Times New Roman" w:cs="Times New Roman"/>
          <w:b/>
          <w:bCs/>
          <w:sz w:val="28"/>
          <w:szCs w:val="28"/>
          <w:lang w:val="uk-UA"/>
        </w:rPr>
        <w:t xml:space="preserve"> від 28.08.2020</w:t>
      </w:r>
      <w:r>
        <w:rPr>
          <w:rFonts w:ascii="Times New Roman" w:hAnsi="Times New Roman" w:eastAsia="Times New Roman" w:cs="Times New Roman"/>
          <w:b/>
          <w:bCs/>
          <w:sz w:val="28"/>
          <w:szCs w:val="28"/>
        </w:rPr>
        <w:t xml:space="preserve">  </w:t>
      </w:r>
      <w:r>
        <w:rPr>
          <w:rFonts w:hint="default" w:ascii="Times New Roman" w:hAnsi="Times New Roman" w:eastAsia="Times New Roman" w:cs="Times New Roman"/>
          <w:b/>
          <w:bCs/>
          <w:sz w:val="28"/>
          <w:szCs w:val="28"/>
          <w:lang w:val="uk-UA"/>
        </w:rPr>
        <w:t xml:space="preserve">                                 </w:t>
      </w:r>
      <w:r>
        <w:rPr>
          <w:rFonts w:ascii="Times New Roman" w:hAnsi="Times New Roman" w:eastAsia="Times New Roman" w:cs="Times New Roman"/>
          <w:b/>
          <w:bCs/>
          <w:sz w:val="28"/>
          <w:szCs w:val="28"/>
          <w:lang w:val="uk-UA"/>
        </w:rPr>
        <w:t>Фразької</w:t>
      </w:r>
      <w:r>
        <w:rPr>
          <w:rFonts w:hint="default" w:ascii="Times New Roman" w:hAnsi="Times New Roman" w:eastAsia="Times New Roman" w:cs="Times New Roman"/>
          <w:b/>
          <w:bCs/>
          <w:sz w:val="28"/>
          <w:szCs w:val="28"/>
          <w:lang w:val="uk-UA"/>
        </w:rPr>
        <w:t xml:space="preserve"> гімназії№   від</w:t>
      </w:r>
      <w:r>
        <w:rPr>
          <w:rFonts w:hint="default" w:ascii="Times New Roman" w:hAnsi="Times New Roman" w:eastAsia="Times New Roman" w:cs="Times New Roman"/>
          <w:b/>
          <w:bCs/>
          <w:sz w:val="28"/>
          <w:szCs w:val="28"/>
          <w:lang w:val="uk-UA"/>
        </w:rPr>
        <w:br w:type="textWrapping"/>
      </w:r>
      <w:r>
        <w:rPr>
          <w:rFonts w:hint="default" w:ascii="Times New Roman" w:hAnsi="Times New Roman" w:eastAsia="Times New Roman" w:cs="Times New Roman"/>
          <w:b/>
          <w:bCs/>
          <w:sz w:val="28"/>
          <w:szCs w:val="28"/>
          <w:lang w:val="uk-UA"/>
        </w:rPr>
        <w:t xml:space="preserve">                                                                                                     Ю.І.Дума                                                                                                                                            </w:t>
      </w:r>
      <w:r>
        <w:rPr>
          <w:rFonts w:ascii="Times New Roman" w:hAnsi="Times New Roman" w:eastAsia="Times New Roman" w:cs="Times New Roman"/>
          <w:b/>
          <w:bCs/>
          <w:sz w:val="28"/>
          <w:szCs w:val="28"/>
        </w:rPr>
        <w:t xml:space="preserve">                 </w:t>
      </w:r>
      <w:r>
        <w:rPr>
          <w:rFonts w:hint="default" w:ascii="Times New Roman" w:hAnsi="Times New Roman" w:eastAsia="Times New Roman" w:cs="Times New Roman"/>
          <w:b/>
          <w:bCs/>
          <w:sz w:val="28"/>
          <w:szCs w:val="28"/>
          <w:lang w:val="uk-UA"/>
        </w:rPr>
        <w:t xml:space="preserve">                                                    </w:t>
      </w:r>
      <w:r>
        <w:rPr>
          <w:rFonts w:ascii="Times New Roman" w:hAnsi="Times New Roman" w:eastAsia="Times New Roman" w:cs="Times New Roman"/>
          <w:b/>
          <w:bCs/>
          <w:sz w:val="28"/>
          <w:szCs w:val="28"/>
        </w:rPr>
        <w:t xml:space="preserve">                                                                                </w:t>
      </w:r>
    </w:p>
    <w:p>
      <w:pPr>
        <w:spacing w:after="0"/>
        <w:jc w:val="center"/>
        <w:rPr>
          <w:rFonts w:ascii="Times New Roman" w:hAnsi="Times New Roman" w:cs="Times New Roman"/>
          <w:b/>
          <w:sz w:val="96"/>
          <w:szCs w:val="96"/>
        </w:rPr>
      </w:pPr>
    </w:p>
    <w:p>
      <w:pPr>
        <w:spacing w:after="0" w:line="240" w:lineRule="auto"/>
        <w:ind w:firstLine="2421" w:firstLineChars="550"/>
        <w:rPr>
          <w:rFonts w:ascii="Times New Roman" w:hAnsi="Times New Roman" w:cs="Times New Roman"/>
          <w:b/>
          <w:bCs w:val="0"/>
          <w:sz w:val="44"/>
          <w:szCs w:val="44"/>
        </w:rPr>
      </w:pPr>
    </w:p>
    <w:p>
      <w:pPr>
        <w:spacing w:after="0" w:line="240" w:lineRule="auto"/>
        <w:ind w:firstLine="2421" w:firstLineChars="550"/>
        <w:rPr>
          <w:rFonts w:ascii="Times New Roman" w:hAnsi="Times New Roman" w:cs="Times New Roman"/>
          <w:b/>
          <w:bCs w:val="0"/>
          <w:sz w:val="44"/>
          <w:szCs w:val="44"/>
        </w:rPr>
      </w:pPr>
    </w:p>
    <w:p>
      <w:pPr>
        <w:spacing w:after="0" w:line="240" w:lineRule="auto"/>
        <w:ind w:firstLine="2421" w:firstLineChars="550"/>
        <w:rPr>
          <w:rFonts w:ascii="Times New Roman" w:hAnsi="Times New Roman" w:cs="Times New Roman"/>
          <w:b/>
          <w:bCs w:val="0"/>
          <w:sz w:val="44"/>
          <w:szCs w:val="44"/>
        </w:rPr>
      </w:pPr>
    </w:p>
    <w:p>
      <w:pPr>
        <w:spacing w:after="0" w:line="240" w:lineRule="auto"/>
        <w:ind w:firstLine="2421" w:firstLineChars="550"/>
        <w:rPr>
          <w:rFonts w:ascii="Times New Roman" w:hAnsi="Times New Roman" w:cs="Times New Roman"/>
          <w:b/>
          <w:bCs w:val="0"/>
          <w:sz w:val="44"/>
          <w:szCs w:val="44"/>
        </w:rPr>
      </w:pPr>
    </w:p>
    <w:p>
      <w:pPr>
        <w:spacing w:after="0" w:line="240" w:lineRule="auto"/>
        <w:ind w:firstLine="2421" w:firstLineChars="550"/>
        <w:rPr>
          <w:rFonts w:ascii="Times New Roman" w:hAnsi="Times New Roman" w:cs="Times New Roman"/>
          <w:b/>
          <w:bCs w:val="0"/>
          <w:sz w:val="44"/>
          <w:szCs w:val="44"/>
        </w:rPr>
      </w:pPr>
    </w:p>
    <w:p>
      <w:pPr>
        <w:spacing w:after="0" w:line="240" w:lineRule="auto"/>
        <w:ind w:firstLine="2861" w:firstLineChars="650"/>
        <w:jc w:val="both"/>
        <w:rPr>
          <w:rFonts w:ascii="Times New Roman" w:hAnsi="Times New Roman" w:cs="Times New Roman"/>
          <w:b/>
          <w:bCs w:val="0"/>
          <w:sz w:val="44"/>
          <w:szCs w:val="44"/>
        </w:rPr>
      </w:pPr>
      <w:r>
        <w:rPr>
          <w:rFonts w:ascii="Times New Roman" w:hAnsi="Times New Roman" w:cs="Times New Roman"/>
          <w:b/>
          <w:bCs w:val="0"/>
          <w:sz w:val="44"/>
          <w:szCs w:val="44"/>
        </w:rPr>
        <w:t>Положення</w:t>
      </w:r>
    </w:p>
    <w:p>
      <w:pPr>
        <w:spacing w:after="0" w:line="240" w:lineRule="auto"/>
        <w:jc w:val="center"/>
        <w:rPr>
          <w:rFonts w:ascii="Times New Roman" w:hAnsi="Times New Roman" w:cs="Times New Roman"/>
          <w:b/>
          <w:bCs w:val="0"/>
          <w:sz w:val="44"/>
          <w:szCs w:val="44"/>
        </w:rPr>
      </w:pPr>
      <w:r>
        <w:rPr>
          <w:rFonts w:ascii="Times New Roman" w:hAnsi="Times New Roman" w:cs="Times New Roman"/>
          <w:b/>
          <w:bCs w:val="0"/>
          <w:sz w:val="44"/>
          <w:szCs w:val="44"/>
        </w:rPr>
        <w:t>про академічну доброчесність</w:t>
      </w:r>
    </w:p>
    <w:p>
      <w:pPr>
        <w:spacing w:after="0" w:line="240" w:lineRule="auto"/>
        <w:jc w:val="center"/>
        <w:rPr>
          <w:rFonts w:ascii="Times New Roman" w:hAnsi="Times New Roman" w:cs="Times New Roman"/>
          <w:b/>
          <w:bCs w:val="0"/>
          <w:sz w:val="44"/>
          <w:szCs w:val="44"/>
        </w:rPr>
      </w:pPr>
      <w:r>
        <w:rPr>
          <w:rFonts w:ascii="Times New Roman" w:hAnsi="Times New Roman" w:cs="Times New Roman"/>
          <w:b/>
          <w:bCs w:val="0"/>
          <w:sz w:val="44"/>
          <w:szCs w:val="44"/>
        </w:rPr>
        <w:t>педагогічних працівників та</w:t>
      </w:r>
    </w:p>
    <w:p>
      <w:pPr>
        <w:spacing w:after="0" w:line="240" w:lineRule="auto"/>
        <w:jc w:val="center"/>
        <w:rPr>
          <w:rFonts w:ascii="Times New Roman" w:hAnsi="Times New Roman" w:cs="Times New Roman"/>
          <w:b/>
          <w:bCs w:val="0"/>
          <w:sz w:val="44"/>
          <w:szCs w:val="44"/>
        </w:rPr>
      </w:pPr>
      <w:r>
        <w:rPr>
          <w:rFonts w:ascii="Times New Roman" w:hAnsi="Times New Roman" w:cs="Times New Roman"/>
          <w:b/>
          <w:bCs w:val="0"/>
          <w:sz w:val="44"/>
          <w:szCs w:val="44"/>
        </w:rPr>
        <w:t xml:space="preserve">здобувачів освіти </w:t>
      </w:r>
      <w:r>
        <w:rPr>
          <w:rFonts w:ascii="Times New Roman" w:hAnsi="Times New Roman" w:cs="Times New Roman"/>
          <w:b/>
          <w:bCs w:val="0"/>
          <w:sz w:val="44"/>
          <w:szCs w:val="44"/>
          <w:lang w:val="uk-UA"/>
        </w:rPr>
        <w:t>у</w:t>
      </w:r>
      <w:r>
        <w:rPr>
          <w:rFonts w:hint="default" w:ascii="Times New Roman" w:hAnsi="Times New Roman" w:cs="Times New Roman"/>
          <w:b/>
          <w:bCs w:val="0"/>
          <w:sz w:val="44"/>
          <w:szCs w:val="44"/>
          <w:lang w:val="uk-UA"/>
        </w:rPr>
        <w:t xml:space="preserve"> Фразькій </w:t>
      </w:r>
      <w:r>
        <w:rPr>
          <w:rFonts w:ascii="Times New Roman" w:hAnsi="Times New Roman" w:cs="Times New Roman"/>
          <w:b/>
          <w:bCs w:val="0"/>
          <w:sz w:val="44"/>
          <w:szCs w:val="44"/>
        </w:rPr>
        <w:t>гімназії</w:t>
      </w:r>
    </w:p>
    <w:p>
      <w:pPr>
        <w:spacing w:after="0" w:line="240" w:lineRule="auto"/>
        <w:jc w:val="center"/>
        <w:rPr>
          <w:rFonts w:ascii="Times New Roman" w:hAnsi="Times New Roman" w:cs="Times New Roman"/>
          <w:b/>
          <w:bCs w:val="0"/>
          <w:sz w:val="28"/>
          <w:szCs w:val="28"/>
        </w:rPr>
        <w:sectPr>
          <w:pgSz w:w="11906" w:h="16838"/>
          <w:pgMar w:top="1440" w:right="1800" w:bottom="1440" w:left="1800" w:header="720" w:footer="720" w:gutter="0"/>
          <w:cols w:space="720" w:num="1"/>
          <w:docGrid w:linePitch="360" w:charSpace="0"/>
        </w:sectPr>
      </w:pPr>
    </w:p>
    <w:p>
      <w:pPr>
        <w:spacing w:after="0" w:line="240"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Дане положення про академічну доброчесність педагогічних працівників та здобувачів освіти </w:t>
      </w:r>
      <w:r>
        <w:rPr>
          <w:rFonts w:hint="default" w:ascii="Times New Roman" w:hAnsi="Times New Roman" w:cs="Times New Roman"/>
          <w:bCs/>
          <w:sz w:val="28"/>
          <w:szCs w:val="28"/>
          <w:lang w:val="uk-UA"/>
        </w:rPr>
        <w:t xml:space="preserve">у Фразькій </w:t>
      </w:r>
      <w:r>
        <w:rPr>
          <w:rFonts w:hint="default" w:ascii="Times New Roman" w:hAnsi="Times New Roman" w:cs="Times New Roman"/>
          <w:bCs/>
          <w:sz w:val="28"/>
          <w:szCs w:val="28"/>
        </w:rPr>
        <w:t xml:space="preserve"> гімназії  розроблено відповідно до Законів України «Про освіту»; «Про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ISO 9001:2015 Системи управління якістю. Вимоги; ДСТУ ISO 9000:2015 Системи управління якістю.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та затверджено  педагогічною радою гімназії (протокол №4 від 11.01.2019р).</w:t>
      </w:r>
    </w:p>
    <w:p>
      <w:pPr>
        <w:spacing w:after="0" w:line="295" w:lineRule="atLeast"/>
        <w:outlineLvl w:val="4"/>
        <w:rPr>
          <w:rFonts w:hint="default" w:ascii="Times New Roman" w:hAnsi="Times New Roman" w:eastAsia="Times New Roman" w:cs="Times New Roman"/>
          <w:b/>
          <w:bCs/>
          <w:sz w:val="28"/>
          <w:szCs w:val="28"/>
          <w:lang w:eastAsia="uk-UA"/>
        </w:rPr>
      </w:pPr>
      <w:r>
        <w:rPr>
          <w:rFonts w:hint="default" w:ascii="Times New Roman" w:hAnsi="Times New Roman" w:eastAsia="Times New Roman" w:cs="Times New Roman"/>
          <w:b/>
          <w:bCs/>
          <w:sz w:val="28"/>
          <w:szCs w:val="28"/>
          <w:lang w:eastAsia="uk-UA"/>
        </w:rPr>
        <w:t>І. Загальні положення</w:t>
      </w:r>
    </w:p>
    <w:p>
      <w:pPr>
        <w:spacing w:after="0"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У навчальному закладі трудова дисципліна ґрунтується на свідомому виконанні працівниками своїх трудових обовʼязків і є необхідною умовою організації ефективної праці і освітнього процесу.</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pPr>
        <w:spacing w:after="0"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2. Метою правил внутрішнього розпорядку закладу є визначення обовʼязків учасників освітнього процесу та інших працівників, передбачених нормами, які встановлюють внутрішній розпорядок у закладі. Дотримання академічної доброчесності всіма учасниками освітнього процесу гарантує довіру, прозорість та якість освітньої діяльності.</w:t>
      </w:r>
    </w:p>
    <w:p>
      <w:pPr>
        <w:spacing w:after="0" w:line="295" w:lineRule="atLeast"/>
        <w:outlineLvl w:val="4"/>
        <w:rPr>
          <w:rFonts w:hint="default" w:ascii="Times New Roman" w:hAnsi="Times New Roman" w:eastAsia="Times New Roman" w:cs="Times New Roman"/>
          <w:b/>
          <w:bCs/>
          <w:sz w:val="28"/>
          <w:szCs w:val="28"/>
          <w:lang w:eastAsia="uk-UA"/>
        </w:rPr>
      </w:pPr>
      <w:r>
        <w:rPr>
          <w:rFonts w:hint="default" w:ascii="Times New Roman" w:hAnsi="Times New Roman" w:eastAsia="Times New Roman" w:cs="Times New Roman"/>
          <w:b/>
          <w:bCs/>
          <w:sz w:val="28"/>
          <w:szCs w:val="28"/>
          <w:lang w:eastAsia="uk-UA"/>
        </w:rPr>
        <w:t>ІІ. Принципи, норми етики та академічної доброчесності закладу освіти</w:t>
      </w:r>
    </w:p>
    <w:p>
      <w:pPr>
        <w:spacing w:after="0"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sz w:val="28"/>
          <w:szCs w:val="28"/>
          <w:lang w:eastAsia="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впровадження наукової (творчої) діяльності з метою забезпечення довіри до результатів навчання, попередження порушень освітнього процесу.</w:t>
      </w:r>
      <w:r>
        <w:rPr>
          <w:rFonts w:hint="default" w:ascii="Times New Roman" w:hAnsi="Times New Roman" w:eastAsia="Times New Roman" w:cs="Times New Roman"/>
          <w:sz w:val="28"/>
          <w:szCs w:val="28"/>
          <w:lang w:eastAsia="uk-UA"/>
        </w:rPr>
        <w:br w:type="textWrapping"/>
      </w:r>
      <w:r>
        <w:rPr>
          <w:rFonts w:hint="default" w:ascii="Times New Roman" w:hAnsi="Times New Roman" w:eastAsia="Times New Roman" w:cs="Times New Roman"/>
          <w:sz w:val="28"/>
          <w:szCs w:val="28"/>
          <w:lang w:eastAsia="uk-UA"/>
        </w:rPr>
        <w:t>2.2. Порушенням академічної доброчесності згідно ст. 42 п. 4 Закону України «Про освіту » вважається : академічний плагіат, самоплагіат, фабрикація, фальсифікація, списування, обман, хабарництво, необ’єктивне оцінювання.</w:t>
      </w:r>
      <w:r>
        <w:rPr>
          <w:rFonts w:hint="default" w:ascii="Times New Roman" w:hAnsi="Times New Roman" w:eastAsia="Times New Roman" w:cs="Times New Roman"/>
          <w:color w:val="FF0000"/>
          <w:sz w:val="28"/>
          <w:szCs w:val="28"/>
          <w:lang w:eastAsia="uk-UA"/>
        </w:rPr>
        <w:br w:type="textWrapping"/>
      </w:r>
      <w:r>
        <w:rPr>
          <w:rFonts w:hint="default" w:ascii="Times New Roman" w:hAnsi="Times New Roman" w:eastAsia="Times New Roman" w:cs="Times New Roman"/>
          <w:color w:val="212121"/>
          <w:sz w:val="28"/>
          <w:szCs w:val="28"/>
          <w:lang w:eastAsia="uk-UA"/>
        </w:rPr>
        <w:t>2.3. Етика та академічна доброчесність забезпечується:</w:t>
      </w:r>
    </w:p>
    <w:p>
      <w:pPr>
        <w:spacing w:after="0"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b/>
          <w:bCs/>
          <w:i/>
          <w:iCs/>
          <w:color w:val="212121"/>
          <w:sz w:val="28"/>
          <w:szCs w:val="28"/>
          <w:lang w:eastAsia="uk-UA"/>
        </w:rPr>
        <w:t>2.3.1. учасниками освітнього процесу шляхом:</w:t>
      </w:r>
      <w:r>
        <w:rPr>
          <w:rFonts w:hint="default" w:ascii="Times New Roman" w:hAnsi="Times New Roman" w:eastAsia="Times New Roman" w:cs="Times New Roman"/>
          <w:b/>
          <w:bCs/>
          <w:i/>
          <w:iCs/>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дотримання Концепції ООН «Про права дитини», Конституції, Законів України «Про освіту», «Про загальну середню освіту», «Про наукову і науково-технічну творчість»;</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«Про авторське право і суміжні права», « Про видавничу справу», «Про запобігання корупції», Правил внутрішнього трудового розпорядку;</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утвердження позитивного іміджу закладу освіти, примноження його традицій;</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дотримання етичних норм спілкування на засадах партнерства, взаємоповаги, толерантності стосунків;</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запобігання корупції, хабарництву;</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збереження, поліпшення та раціонального використання навчально-матеріальної бази закладу;</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дотримання норм про авторські права;</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надання правдивої інформації про результати власної навчальної (наукової, творчої ) діяльності;</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невідворотності відповідальності з підстав та в порядку, визначених відповідно Законом України «Про освіту» та іншими спеціальними законами.</w:t>
      </w:r>
    </w:p>
    <w:p>
      <w:pPr>
        <w:spacing w:after="0"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b/>
          <w:bCs/>
          <w:i/>
          <w:iCs/>
          <w:color w:val="212121"/>
          <w:sz w:val="28"/>
          <w:szCs w:val="28"/>
          <w:lang w:eastAsia="uk-UA"/>
        </w:rPr>
        <w:t>2.3.2. здобувачами освіти шляхом:</w:t>
      </w:r>
      <w:r>
        <w:rPr>
          <w:rFonts w:hint="default" w:ascii="Times New Roman" w:hAnsi="Times New Roman" w:eastAsia="Times New Roman" w:cs="Times New Roman"/>
          <w:b/>
          <w:bCs/>
          <w:i/>
          <w:iCs/>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(самостійна, контрольна, ДПА);</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особистою присутністю на всіх заняттях, окрім випадків, викликаних поважними причинами.</w:t>
      </w:r>
    </w:p>
    <w:p>
      <w:pPr>
        <w:spacing w:after="0" w:line="240" w:lineRule="auto"/>
        <w:ind w:right="141"/>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b/>
          <w:bCs/>
          <w:i/>
          <w:iCs/>
          <w:color w:val="212121"/>
          <w:sz w:val="28"/>
          <w:szCs w:val="28"/>
          <w:lang w:eastAsia="uk-UA"/>
        </w:rPr>
        <w:t>2.3.3. педагогічними працівниками шляхом:</w:t>
      </w:r>
      <w:r>
        <w:rPr>
          <w:rFonts w:hint="default" w:ascii="Times New Roman" w:hAnsi="Times New Roman" w:eastAsia="Times New Roman" w:cs="Times New Roman"/>
          <w:b/>
          <w:bCs/>
          <w:i/>
          <w:iCs/>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надання якісних освітніх послуг з використанням у практичній професійній діяльності інноваційних здобутків у галузі освіти;</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обовʼязкової присутності, активної участі на засіданнях педагогічної ради та колегіальної відповідальності за прийняті управлінські рішення;</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незалежності професійної діяльності від політичних партій, громадських і релігійних організацій;</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підвищення професійного рівня шляхом саморозвитку самовдосконалення, проходження вчасно курсової підготовки;</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дотримання правил внутрішнього розпорядку, трудової дисципліни, корпоративної етики;</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обʼєктивного і неупередженого оцінювання результатів навчання здобувачів освіти;</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здійсненням контролю за дотриманням академічної доброчесності здобувачами освіти;</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 інформування здобувачів освіти про типові порушення академічної доброчесності та види відповідальності за її порушення.</w:t>
      </w:r>
    </w:p>
    <w:tbl>
      <w:tblPr>
        <w:tblStyle w:val="3"/>
        <w:tblpPr w:leftFromText="180" w:rightFromText="180" w:vertAnchor="text" w:horzAnchor="margin" w:tblpXSpec="center" w:tblpY="348"/>
        <w:tblW w:w="10990" w:type="dxa"/>
        <w:tblInd w:w="0" w:type="dxa"/>
        <w:tblBorders>
          <w:top w:val="single" w:color="32BEBC" w:sz="6"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4"/>
        <w:gridCol w:w="1520"/>
        <w:gridCol w:w="2010"/>
        <w:gridCol w:w="2551"/>
        <w:gridCol w:w="2835"/>
      </w:tblGrid>
      <w:tr>
        <w:tblPrEx>
          <w:tblBorders>
            <w:top w:val="single" w:color="32BEBC"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74"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jc w:val="center"/>
              <w:rPr>
                <w:rFonts w:hint="default" w:ascii="Times New Roman" w:hAnsi="Times New Roman" w:eastAsia="Times New Roman" w:cs="Times New Roman"/>
                <w:i/>
                <w:sz w:val="28"/>
                <w:szCs w:val="28"/>
                <w:lang w:eastAsia="uk-UA"/>
              </w:rPr>
            </w:pPr>
            <w:r>
              <w:rPr>
                <w:rFonts w:hint="default" w:ascii="Times New Roman" w:hAnsi="Times New Roman" w:eastAsia="Times New Roman" w:cs="Times New Roman"/>
                <w:b/>
                <w:bCs/>
                <w:i/>
                <w:sz w:val="28"/>
                <w:szCs w:val="28"/>
                <w:lang w:eastAsia="uk-UA"/>
              </w:rPr>
              <w:t>Порушення академічної доброчесності</w:t>
            </w:r>
          </w:p>
        </w:tc>
        <w:tc>
          <w:tcPr>
            <w:tcW w:w="1520"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jc w:val="center"/>
              <w:rPr>
                <w:rFonts w:hint="default" w:ascii="Times New Roman" w:hAnsi="Times New Roman" w:eastAsia="Times New Roman" w:cs="Times New Roman"/>
                <w:i/>
                <w:sz w:val="28"/>
                <w:szCs w:val="28"/>
                <w:lang w:eastAsia="uk-UA"/>
              </w:rPr>
            </w:pPr>
            <w:r>
              <w:rPr>
                <w:rFonts w:hint="default" w:ascii="Times New Roman" w:hAnsi="Times New Roman" w:eastAsia="Times New Roman" w:cs="Times New Roman"/>
                <w:b/>
                <w:bCs/>
                <w:i/>
                <w:sz w:val="28"/>
                <w:szCs w:val="28"/>
                <w:lang w:eastAsia="uk-UA"/>
              </w:rPr>
              <w:t>Субʼєкти порушення</w:t>
            </w:r>
          </w:p>
        </w:tc>
        <w:tc>
          <w:tcPr>
            <w:tcW w:w="2010"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jc w:val="center"/>
              <w:rPr>
                <w:rFonts w:hint="default" w:ascii="Times New Roman" w:hAnsi="Times New Roman" w:eastAsia="Times New Roman" w:cs="Times New Roman"/>
                <w:i/>
                <w:sz w:val="28"/>
                <w:szCs w:val="28"/>
                <w:lang w:eastAsia="uk-UA"/>
              </w:rPr>
            </w:pPr>
            <w:r>
              <w:rPr>
                <w:rFonts w:hint="default" w:ascii="Times New Roman" w:hAnsi="Times New Roman" w:eastAsia="Times New Roman" w:cs="Times New Roman"/>
                <w:b/>
                <w:bCs/>
                <w:i/>
                <w:sz w:val="28"/>
                <w:szCs w:val="28"/>
                <w:lang w:eastAsia="uk-UA"/>
              </w:rPr>
              <w:t>Обставини та умови порушення академічної доброчесності</w:t>
            </w:r>
          </w:p>
        </w:tc>
        <w:tc>
          <w:tcPr>
            <w:tcW w:w="2551"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jc w:val="center"/>
              <w:rPr>
                <w:rFonts w:hint="default" w:ascii="Times New Roman" w:hAnsi="Times New Roman" w:eastAsia="Times New Roman" w:cs="Times New Roman"/>
                <w:i/>
                <w:sz w:val="28"/>
                <w:szCs w:val="28"/>
                <w:lang w:eastAsia="uk-UA"/>
              </w:rPr>
            </w:pPr>
            <w:r>
              <w:rPr>
                <w:rFonts w:hint="default" w:ascii="Times New Roman" w:hAnsi="Times New Roman" w:eastAsia="Times New Roman" w:cs="Times New Roman"/>
                <w:b/>
                <w:bCs/>
                <w:i/>
                <w:sz w:val="28"/>
                <w:szCs w:val="28"/>
                <w:lang w:eastAsia="uk-UA"/>
              </w:rPr>
              <w:t>Наслідки і форма відповідальності</w:t>
            </w:r>
          </w:p>
        </w:tc>
        <w:tc>
          <w:tcPr>
            <w:tcW w:w="2835"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ind w:right="254"/>
              <w:rPr>
                <w:rFonts w:hint="default" w:ascii="Times New Roman" w:hAnsi="Times New Roman" w:eastAsia="Times New Roman" w:cs="Times New Roman"/>
                <w:i/>
                <w:sz w:val="28"/>
                <w:szCs w:val="28"/>
                <w:lang w:eastAsia="uk-UA"/>
              </w:rPr>
            </w:pPr>
            <w:r>
              <w:rPr>
                <w:rFonts w:hint="default" w:ascii="Times New Roman" w:hAnsi="Times New Roman" w:eastAsia="Times New Roman" w:cs="Times New Roman"/>
                <w:b/>
                <w:bCs/>
                <w:i/>
                <w:sz w:val="28"/>
                <w:szCs w:val="28"/>
                <w:lang w:eastAsia="uk-UA"/>
              </w:rPr>
              <w:t>Орган/ посадова особа, який приймає рішення про призначення виду відповідальності</w:t>
            </w:r>
          </w:p>
        </w:tc>
      </w:tr>
      <w:tr>
        <w:tblPrEx>
          <w:tblBorders>
            <w:top w:val="single" w:color="32BEBC"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74" w:type="dxa"/>
            <w:vMerge w:val="restart"/>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b/>
                <w:sz w:val="28"/>
                <w:szCs w:val="28"/>
                <w:lang w:eastAsia="uk-UA"/>
              </w:rPr>
            </w:pPr>
            <w:r>
              <w:rPr>
                <w:rFonts w:hint="default" w:ascii="Times New Roman" w:hAnsi="Times New Roman" w:eastAsia="Times New Roman" w:cs="Times New Roman"/>
                <w:b/>
                <w:sz w:val="28"/>
                <w:szCs w:val="28"/>
                <w:lang w:eastAsia="uk-UA"/>
              </w:rPr>
              <w:t>Списування</w:t>
            </w:r>
          </w:p>
        </w:tc>
        <w:tc>
          <w:tcPr>
            <w:tcW w:w="1520" w:type="dxa"/>
            <w:vMerge w:val="restart"/>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b/>
                <w:sz w:val="28"/>
                <w:szCs w:val="28"/>
                <w:lang w:eastAsia="uk-UA"/>
              </w:rPr>
            </w:pPr>
            <w:r>
              <w:rPr>
                <w:rFonts w:hint="default" w:ascii="Times New Roman" w:hAnsi="Times New Roman" w:eastAsia="Times New Roman" w:cs="Times New Roman"/>
                <w:b/>
                <w:sz w:val="28"/>
                <w:szCs w:val="28"/>
                <w:lang w:eastAsia="uk-UA"/>
              </w:rPr>
              <w:t>Здобувачі освіти</w:t>
            </w:r>
          </w:p>
        </w:tc>
        <w:tc>
          <w:tcPr>
            <w:tcW w:w="2010"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 xml:space="preserve">-самостійні роботи;                  - контрольні роботи; </w:t>
            </w:r>
          </w:p>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 контрольні зрізи знань;</w:t>
            </w:r>
          </w:p>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 річне                   -оцінювання (для екстернів);  моніторинги якості знань</w:t>
            </w:r>
          </w:p>
        </w:tc>
        <w:tc>
          <w:tcPr>
            <w:tcW w:w="2551"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Повторне письмове проходження оцінювання. Термін - 1 тиждень, або повторне проходження відповідного освітнього компонента освітньої програми</w:t>
            </w:r>
          </w:p>
        </w:tc>
        <w:tc>
          <w:tcPr>
            <w:tcW w:w="2835"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ind w:firstLine="7538"/>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УВчителі-предметники</w:t>
            </w:r>
          </w:p>
          <w:p>
            <w:pPr>
              <w:spacing w:after="0" w:line="295" w:lineRule="atLeast"/>
              <w:ind w:left="-8297"/>
              <w:rPr>
                <w:rFonts w:hint="default" w:ascii="Times New Roman" w:hAnsi="Times New Roman" w:eastAsia="Times New Roman" w:cs="Times New Roman"/>
                <w:color w:val="212121"/>
                <w:sz w:val="28"/>
                <w:szCs w:val="28"/>
                <w:lang w:eastAsia="uk-UA"/>
              </w:rPr>
            </w:pPr>
          </w:p>
        </w:tc>
      </w:tr>
      <w:tr>
        <w:tblPrEx>
          <w:tblBorders>
            <w:top w:val="single" w:color="32BEBC"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74" w:type="dxa"/>
            <w:vMerge w:val="continue"/>
            <w:tcBorders>
              <w:top w:val="single" w:color="32BEBC" w:sz="6" w:space="0"/>
              <w:left w:val="single" w:color="32BEBC" w:sz="6" w:space="0"/>
              <w:bottom w:val="single" w:color="32BEBC" w:sz="6" w:space="0"/>
              <w:right w:val="single" w:color="32BEBC" w:sz="6" w:space="0"/>
            </w:tcBorders>
            <w:shd w:val="clear" w:color="auto" w:fill="FFFFFF"/>
            <w:vAlign w:val="center"/>
          </w:tcPr>
          <w:p>
            <w:pPr>
              <w:spacing w:after="0" w:line="240" w:lineRule="auto"/>
              <w:rPr>
                <w:rFonts w:hint="default" w:ascii="Times New Roman" w:hAnsi="Times New Roman" w:eastAsia="Times New Roman" w:cs="Times New Roman"/>
                <w:color w:val="212121"/>
                <w:sz w:val="28"/>
                <w:szCs w:val="28"/>
                <w:lang w:eastAsia="uk-UA"/>
              </w:rPr>
            </w:pPr>
          </w:p>
        </w:tc>
        <w:tc>
          <w:tcPr>
            <w:tcW w:w="1520" w:type="dxa"/>
            <w:vMerge w:val="continue"/>
            <w:tcBorders>
              <w:top w:val="single" w:color="32BEBC" w:sz="6" w:space="0"/>
              <w:left w:val="single" w:color="32BEBC" w:sz="6" w:space="0"/>
              <w:bottom w:val="single" w:color="32BEBC" w:sz="6" w:space="0"/>
              <w:right w:val="single" w:color="32BEBC" w:sz="6" w:space="0"/>
            </w:tcBorders>
            <w:shd w:val="clear" w:color="auto" w:fill="FFFFFF"/>
            <w:vAlign w:val="center"/>
          </w:tcPr>
          <w:p>
            <w:pPr>
              <w:spacing w:after="0" w:line="240" w:lineRule="auto"/>
              <w:rPr>
                <w:rFonts w:hint="default" w:ascii="Times New Roman" w:hAnsi="Times New Roman" w:eastAsia="Times New Roman" w:cs="Times New Roman"/>
                <w:color w:val="212121"/>
                <w:sz w:val="28"/>
                <w:szCs w:val="28"/>
                <w:lang w:eastAsia="uk-UA"/>
              </w:rPr>
            </w:pPr>
          </w:p>
        </w:tc>
        <w:tc>
          <w:tcPr>
            <w:tcW w:w="2010"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 (ДПА);                - річне оцінювання    (для екстернів)</w:t>
            </w:r>
          </w:p>
        </w:tc>
        <w:tc>
          <w:tcPr>
            <w:tcW w:w="2551"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Повторне проходження оцінювання за графіком проведення ДПА у закладі. Не зарахування результатів</w:t>
            </w:r>
          </w:p>
        </w:tc>
        <w:tc>
          <w:tcPr>
            <w:tcW w:w="2835"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ind w:right="254"/>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Атестаційна комісі</w:t>
            </w:r>
            <w:bookmarkStart w:id="0" w:name="_GoBack"/>
            <w:bookmarkEnd w:id="0"/>
            <w:r>
              <w:rPr>
                <w:rFonts w:hint="default" w:ascii="Times New Roman" w:hAnsi="Times New Roman" w:eastAsia="Times New Roman" w:cs="Times New Roman"/>
                <w:color w:val="212121"/>
                <w:sz w:val="28"/>
                <w:szCs w:val="28"/>
                <w:lang w:eastAsia="uk-UA"/>
              </w:rPr>
              <w:t>я</w:t>
            </w:r>
          </w:p>
        </w:tc>
      </w:tr>
      <w:tr>
        <w:tblPrEx>
          <w:tblBorders>
            <w:top w:val="single" w:color="32BEBC"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74" w:type="dxa"/>
            <w:vMerge w:val="continue"/>
            <w:tcBorders>
              <w:top w:val="single" w:color="32BEBC" w:sz="6" w:space="0"/>
              <w:left w:val="single" w:color="32BEBC" w:sz="6" w:space="0"/>
              <w:bottom w:val="single" w:color="32BEBC" w:sz="6" w:space="0"/>
              <w:right w:val="single" w:color="32BEBC" w:sz="6" w:space="0"/>
            </w:tcBorders>
            <w:shd w:val="clear" w:color="auto" w:fill="FFFFFF"/>
            <w:vAlign w:val="center"/>
          </w:tcPr>
          <w:p>
            <w:pPr>
              <w:spacing w:after="0" w:line="240" w:lineRule="auto"/>
              <w:rPr>
                <w:rFonts w:hint="default" w:ascii="Times New Roman" w:hAnsi="Times New Roman" w:eastAsia="Times New Roman" w:cs="Times New Roman"/>
                <w:color w:val="212121"/>
                <w:sz w:val="28"/>
                <w:szCs w:val="28"/>
                <w:lang w:eastAsia="uk-UA"/>
              </w:rPr>
            </w:pPr>
          </w:p>
        </w:tc>
        <w:tc>
          <w:tcPr>
            <w:tcW w:w="1520" w:type="dxa"/>
            <w:vMerge w:val="continue"/>
            <w:tcBorders>
              <w:top w:val="single" w:color="32BEBC" w:sz="6" w:space="0"/>
              <w:left w:val="single" w:color="32BEBC" w:sz="6" w:space="0"/>
              <w:bottom w:val="single" w:color="32BEBC" w:sz="6" w:space="0"/>
              <w:right w:val="single" w:color="32BEBC" w:sz="6" w:space="0"/>
            </w:tcBorders>
            <w:shd w:val="clear" w:color="auto" w:fill="FFFFFF"/>
            <w:vAlign w:val="center"/>
          </w:tcPr>
          <w:p>
            <w:pPr>
              <w:spacing w:after="0" w:line="240" w:lineRule="auto"/>
              <w:rPr>
                <w:rFonts w:hint="default" w:ascii="Times New Roman" w:hAnsi="Times New Roman" w:eastAsia="Times New Roman" w:cs="Times New Roman"/>
                <w:color w:val="212121"/>
                <w:sz w:val="28"/>
                <w:szCs w:val="28"/>
                <w:lang w:eastAsia="uk-UA"/>
              </w:rPr>
            </w:pPr>
          </w:p>
        </w:tc>
        <w:tc>
          <w:tcPr>
            <w:tcW w:w="2010"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 І етап (шкільний) Всеукраїнських учнівських олімпіад, конкурсів</w:t>
            </w:r>
          </w:p>
        </w:tc>
        <w:tc>
          <w:tcPr>
            <w:tcW w:w="2551"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Робота учасника анулюється, не оцінюється. У разі повторних випадків списування учасник не допускається до участі в інших олімпіадах, конкурсах</w:t>
            </w:r>
          </w:p>
        </w:tc>
        <w:tc>
          <w:tcPr>
            <w:tcW w:w="2835"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ind w:right="254"/>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Оргкомітет, журі</w:t>
            </w:r>
          </w:p>
        </w:tc>
      </w:tr>
      <w:tr>
        <w:tblPrEx>
          <w:tblBorders>
            <w:top w:val="single" w:color="32BEBC"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74"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b/>
                <w:sz w:val="28"/>
                <w:szCs w:val="28"/>
                <w:lang w:eastAsia="uk-UA"/>
              </w:rPr>
            </w:pPr>
            <w:r>
              <w:rPr>
                <w:rFonts w:hint="default" w:ascii="Times New Roman" w:hAnsi="Times New Roman" w:eastAsia="Times New Roman" w:cs="Times New Roman"/>
                <w:b/>
                <w:sz w:val="28"/>
                <w:szCs w:val="28"/>
                <w:lang w:eastAsia="uk-UA"/>
              </w:rPr>
              <w:t>Необʼєктивне оцінювання результатів навчання здобувачів</w:t>
            </w:r>
          </w:p>
        </w:tc>
        <w:tc>
          <w:tcPr>
            <w:tcW w:w="1520"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b/>
                <w:sz w:val="28"/>
                <w:szCs w:val="28"/>
                <w:lang w:eastAsia="uk-UA"/>
              </w:rPr>
            </w:pPr>
            <w:r>
              <w:rPr>
                <w:rFonts w:hint="default" w:ascii="Times New Roman" w:hAnsi="Times New Roman" w:eastAsia="Times New Roman" w:cs="Times New Roman"/>
                <w:b/>
                <w:sz w:val="28"/>
                <w:szCs w:val="28"/>
                <w:lang w:eastAsia="uk-UA"/>
              </w:rPr>
              <w:t>Педагогічні працівники</w:t>
            </w:r>
          </w:p>
        </w:tc>
        <w:tc>
          <w:tcPr>
            <w:tcW w:w="2010"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Свідоме завищення, або заниження оцінки результатів навчання:                   - усні відповіді;                  - домашні роботи;                 - лабораторні та практичні роботи;                 - ДПА;                      - тематичне оцінювання;             - моніторинги;         - олімпіадні та конкурсні роботи</w:t>
            </w:r>
          </w:p>
        </w:tc>
        <w:tc>
          <w:tcPr>
            <w:tcW w:w="2551"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педагогічних знань</w:t>
            </w:r>
          </w:p>
        </w:tc>
        <w:tc>
          <w:tcPr>
            <w:tcW w:w="2835"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ind w:right="254"/>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Адміністрація закладу, атестаційні комісії усіх рівнів</w:t>
            </w:r>
          </w:p>
        </w:tc>
      </w:tr>
      <w:tr>
        <w:tblPrEx>
          <w:tblBorders>
            <w:top w:val="single" w:color="32BEBC"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74"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b/>
                <w:sz w:val="28"/>
                <w:szCs w:val="28"/>
                <w:lang w:eastAsia="uk-UA"/>
              </w:rPr>
            </w:pPr>
            <w:r>
              <w:rPr>
                <w:rFonts w:hint="default" w:ascii="Times New Roman" w:hAnsi="Times New Roman" w:eastAsia="Times New Roman" w:cs="Times New Roman"/>
                <w:b/>
                <w:sz w:val="28"/>
                <w:szCs w:val="28"/>
                <w:lang w:eastAsia="uk-UA"/>
              </w:rPr>
              <w:t>Обман: Фальсифікація Фабрикація</w:t>
            </w:r>
            <w:r>
              <w:rPr>
                <w:rFonts w:hint="default" w:ascii="Times New Roman" w:hAnsi="Times New Roman" w:eastAsia="Times New Roman" w:cs="Times New Roman"/>
                <w:b/>
                <w:sz w:val="28"/>
                <w:szCs w:val="28"/>
                <w:lang w:eastAsia="uk-UA"/>
              </w:rPr>
              <w:br w:type="textWrapping"/>
            </w:r>
            <w:r>
              <w:rPr>
                <w:rFonts w:hint="default" w:ascii="Times New Roman" w:hAnsi="Times New Roman" w:eastAsia="Times New Roman" w:cs="Times New Roman"/>
                <w:b/>
                <w:sz w:val="28"/>
                <w:szCs w:val="28"/>
                <w:lang w:eastAsia="uk-UA"/>
              </w:rPr>
              <w:t>Плагіат</w:t>
            </w:r>
          </w:p>
        </w:tc>
        <w:tc>
          <w:tcPr>
            <w:tcW w:w="1520"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b/>
                <w:sz w:val="28"/>
                <w:szCs w:val="28"/>
                <w:lang w:eastAsia="uk-UA"/>
              </w:rPr>
            </w:pPr>
            <w:r>
              <w:rPr>
                <w:rFonts w:hint="default" w:ascii="Times New Roman" w:hAnsi="Times New Roman" w:eastAsia="Times New Roman" w:cs="Times New Roman"/>
                <w:b/>
                <w:sz w:val="28"/>
                <w:szCs w:val="28"/>
                <w:lang w:eastAsia="uk-UA"/>
              </w:rPr>
              <w:t>Педагогічні працівники як автори</w:t>
            </w:r>
          </w:p>
        </w:tc>
        <w:tc>
          <w:tcPr>
            <w:tcW w:w="2010"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Навчально-методичні освітні продукти, створені педагогічними працівниками:          - методичні рекомендації;           - навчальний посібник;                  -навчально-методичний посібник;                  - наочний посібник;              - практичний посібник;                  - навчальний наочний посібник;              - збірка;                    - методична збірка;                   - методичний вісник;                      - стаття;                     - методична розробка</w:t>
            </w:r>
          </w:p>
        </w:tc>
        <w:tc>
          <w:tcPr>
            <w:tcW w:w="2551"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У випадку встановлення порушень такого порядку: 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раніше присвоєного педагогічного звання, кваліфікаційної категорії; б) у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 позбавлення педагогічного працівника І,ІІ кваліфікаційної категорії</w:t>
            </w:r>
          </w:p>
        </w:tc>
        <w:tc>
          <w:tcPr>
            <w:tcW w:w="2835" w:type="dxa"/>
            <w:tcBorders>
              <w:top w:val="single" w:color="32BEBC" w:sz="6" w:space="0"/>
              <w:left w:val="single" w:color="32BEBC" w:sz="6" w:space="0"/>
              <w:bottom w:val="single" w:color="32BEBC" w:sz="6" w:space="0"/>
              <w:right w:val="single" w:color="32BEBC" w:sz="6" w:space="0"/>
            </w:tcBorders>
            <w:shd w:val="clear" w:color="auto" w:fill="FFFFFF"/>
            <w:tcMar>
              <w:top w:w="75" w:type="dxa"/>
              <w:left w:w="75" w:type="dxa"/>
              <w:bottom w:w="75" w:type="dxa"/>
              <w:right w:w="75" w:type="dxa"/>
            </w:tcMar>
          </w:tcPr>
          <w:p>
            <w:pPr>
              <w:spacing w:after="0" w:line="295" w:lineRule="atLeast"/>
              <w:ind w:right="254"/>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Педагогічна та методичні ради закладу, науково-методична рада методичного кабінету, атестаційні комісії (закладу освіти)</w:t>
            </w:r>
          </w:p>
        </w:tc>
      </w:tr>
    </w:tbl>
    <w:p>
      <w:pPr>
        <w:spacing w:after="0" w:line="295" w:lineRule="atLeast"/>
        <w:outlineLvl w:val="4"/>
        <w:rPr>
          <w:rFonts w:hint="default" w:ascii="Times New Roman" w:hAnsi="Times New Roman" w:eastAsia="Times New Roman" w:cs="Times New Roman"/>
          <w:b/>
          <w:bCs/>
          <w:sz w:val="28"/>
          <w:szCs w:val="28"/>
          <w:lang w:eastAsia="uk-UA"/>
        </w:rPr>
      </w:pPr>
      <w:r>
        <w:rPr>
          <w:rFonts w:hint="default" w:ascii="Times New Roman" w:hAnsi="Times New Roman" w:eastAsia="Times New Roman" w:cs="Times New Roman"/>
          <w:b/>
          <w:bCs/>
          <w:sz w:val="28"/>
          <w:szCs w:val="28"/>
          <w:lang w:eastAsia="uk-UA"/>
        </w:rPr>
        <w:t>ІІІ. Заходи з попередження, виявлення та встановлення фактів порушення етики та академічної доброчесності</w:t>
      </w:r>
    </w:p>
    <w:p>
      <w:pPr>
        <w:spacing w:after="0"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3.1. При прийомі на роботу працівник знайомиться із даним Положенням під розписку після ознайомлення із правилами внутрішнього розпорядку закладу.</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3.2. Положення доводиться до батьківської громади на конференції , а також оприлюднюється на сайті закладу.</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b/>
          <w:bCs/>
          <w:i/>
          <w:iCs/>
          <w:color w:val="212121"/>
          <w:sz w:val="28"/>
          <w:szCs w:val="28"/>
          <w:lang w:eastAsia="uk-UA"/>
        </w:rPr>
        <w:t>3.3. Заступник директора закладу :</w:t>
      </w:r>
      <w:r>
        <w:rPr>
          <w:rFonts w:hint="default" w:ascii="Times New Roman" w:hAnsi="Times New Roman" w:eastAsia="Times New Roman" w:cs="Times New Roman"/>
          <w:b/>
          <w:bCs/>
          <w:i/>
          <w:iCs/>
          <w:color w:val="212121"/>
          <w:sz w:val="28"/>
          <w:szCs w:val="28"/>
          <w:lang w:eastAsia="uk-UA"/>
        </w:rPr>
        <w:br w:type="textWrapping"/>
      </w:r>
      <w:r>
        <w:rPr>
          <w:rFonts w:hint="default" w:ascii="Times New Roman" w:hAnsi="Times New Roman" w:eastAsia="Times New Roman" w:cs="Times New Roman"/>
          <w:color w:val="212121"/>
          <w:sz w:val="28"/>
          <w:szCs w:val="28"/>
          <w:lang w:eastAsia="uk-UA"/>
        </w:rPr>
        <w:t>3.3.1. Забезпечує попередження порушень академічної доброчесності шляхом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3.3.2. Педагогічні працівники, в процесі своєї освітньої діяльності, дотримуються етики та академічної доброчесності, умов даного Положення, проводять розʼяснювальну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pPr>
        <w:spacing w:after="0" w:line="295" w:lineRule="atLeast"/>
        <w:outlineLvl w:val="3"/>
        <w:rPr>
          <w:rFonts w:hint="default" w:ascii="Times New Roman" w:hAnsi="Times New Roman" w:eastAsia="Times New Roman" w:cs="Times New Roman"/>
          <w:b/>
          <w:bCs/>
          <w:sz w:val="28"/>
          <w:szCs w:val="28"/>
          <w:lang w:eastAsia="uk-UA"/>
        </w:rPr>
      </w:pPr>
      <w:r>
        <w:rPr>
          <w:rFonts w:hint="default" w:ascii="Times New Roman" w:hAnsi="Times New Roman" w:eastAsia="Times New Roman" w:cs="Times New Roman"/>
          <w:b/>
          <w:bCs/>
          <w:sz w:val="28"/>
          <w:szCs w:val="28"/>
          <w:lang w:eastAsia="uk-UA"/>
        </w:rPr>
        <w:t>IV. Види відповідальності за порушення академічної доброчесності</w:t>
      </w:r>
    </w:p>
    <w:p>
      <w:pPr>
        <w:spacing w:after="0"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4.1. 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w:t>
      </w:r>
    </w:p>
    <w:p>
      <w:pPr>
        <w:spacing w:after="0" w:line="240" w:lineRule="auto"/>
        <w:rPr>
          <w:rFonts w:hint="default" w:ascii="Times New Roman" w:hAnsi="Times New Roman" w:eastAsia="Times New Roman" w:cs="Times New Roman"/>
          <w:vanish/>
          <w:sz w:val="28"/>
          <w:szCs w:val="28"/>
          <w:lang w:eastAsia="uk-UA"/>
        </w:rPr>
      </w:pPr>
    </w:p>
    <w:p>
      <w:pPr>
        <w:spacing w:after="0" w:line="295" w:lineRule="atLeast"/>
        <w:outlineLvl w:val="4"/>
        <w:rPr>
          <w:rFonts w:hint="default" w:ascii="Times New Roman" w:hAnsi="Times New Roman" w:eastAsia="Times New Roman" w:cs="Times New Roman"/>
          <w:b/>
          <w:bCs/>
          <w:sz w:val="28"/>
          <w:szCs w:val="28"/>
          <w:lang w:eastAsia="uk-UA"/>
        </w:rPr>
      </w:pPr>
      <w:r>
        <w:rPr>
          <w:rFonts w:hint="default" w:ascii="Times New Roman" w:hAnsi="Times New Roman" w:eastAsia="Times New Roman" w:cs="Times New Roman"/>
          <w:b/>
          <w:bCs/>
          <w:sz w:val="28"/>
          <w:szCs w:val="28"/>
          <w:lang w:eastAsia="uk-UA"/>
        </w:rPr>
        <w:t>V. Комісія з питань академічної доброчесності та етики педагогічних працівників та здобувачів освіти</w:t>
      </w:r>
    </w:p>
    <w:p>
      <w:pPr>
        <w:spacing w:after="0"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5.1. Комісія з питань академічної доброчесності та етики педагогічних працівників та здобувачів освіти -  незалежний орган для розгляду питань, повʼязаних із порушень Положення моніторингу щодо взаємного дотримання усіма учасниками освітнього процесу морально-етичних норм поведінки та правових норм цього Положення.</w:t>
      </w:r>
      <w:r>
        <w:rPr>
          <w:rFonts w:hint="default" w:ascii="Times New Roman" w:hAnsi="Times New Roman" w:eastAsia="Times New Roman" w:cs="Times New Roman"/>
          <w:color w:val="212121"/>
          <w:sz w:val="28"/>
          <w:szCs w:val="28"/>
          <w:lang w:eastAsia="uk-UA"/>
        </w:rPr>
        <w:br w:type="textWrapping"/>
      </w:r>
      <w:r>
        <w:rPr>
          <w:rFonts w:hint="default" w:ascii="Times New Roman" w:hAnsi="Times New Roman" w:eastAsia="Times New Roman" w:cs="Times New Roman"/>
          <w:color w:val="212121"/>
          <w:sz w:val="28"/>
          <w:szCs w:val="28"/>
          <w:lang w:eastAsia="uk-UA"/>
        </w:rPr>
        <w:t>5.2 До складу Комісії входять представники педагогічного колективу та учнівського самоврядування.</w:t>
      </w:r>
    </w:p>
    <w:p>
      <w:pPr>
        <w:spacing w:after="0" w:line="295" w:lineRule="atLeast"/>
        <w:outlineLvl w:val="5"/>
        <w:rPr>
          <w:rFonts w:hint="default" w:ascii="Times New Roman" w:hAnsi="Times New Roman" w:eastAsia="Times New Roman" w:cs="Times New Roman"/>
          <w:b/>
          <w:bCs/>
          <w:sz w:val="28"/>
          <w:szCs w:val="28"/>
          <w:lang w:eastAsia="uk-UA"/>
        </w:rPr>
      </w:pPr>
      <w:r>
        <w:rPr>
          <w:rFonts w:hint="default" w:ascii="Times New Roman" w:hAnsi="Times New Roman" w:eastAsia="Times New Roman" w:cs="Times New Roman"/>
          <w:b/>
          <w:bCs/>
          <w:sz w:val="28"/>
          <w:szCs w:val="28"/>
          <w:lang w:eastAsia="uk-UA"/>
        </w:rPr>
        <w:t>Персональний склад Комісії затверджується рішенням педагогічної ради.</w:t>
      </w:r>
    </w:p>
    <w:p>
      <w:pPr>
        <w:spacing w:after="295"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Термін повноважень Комісії – 1 рік.</w:t>
      </w:r>
    </w:p>
    <w:p>
      <w:pPr>
        <w:spacing w:after="295"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5.3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pPr>
        <w:spacing w:after="0"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5.4.Коміся звітує про свою роботу двічі на рік.</w:t>
      </w:r>
    </w:p>
    <w:p>
      <w:pPr>
        <w:spacing w:after="0" w:line="295" w:lineRule="atLeast"/>
        <w:outlineLvl w:val="4"/>
        <w:rPr>
          <w:rFonts w:hint="default" w:ascii="Times New Roman" w:hAnsi="Times New Roman" w:eastAsia="Times New Roman" w:cs="Times New Roman"/>
          <w:b/>
          <w:bCs/>
          <w:sz w:val="28"/>
          <w:szCs w:val="28"/>
          <w:lang w:eastAsia="uk-UA"/>
        </w:rPr>
      </w:pPr>
      <w:r>
        <w:rPr>
          <w:rFonts w:hint="default" w:ascii="Times New Roman" w:hAnsi="Times New Roman" w:eastAsia="Times New Roman" w:cs="Times New Roman"/>
          <w:b/>
          <w:bCs/>
          <w:sz w:val="28"/>
          <w:szCs w:val="28"/>
          <w:lang w:eastAsia="uk-UA"/>
        </w:rPr>
        <w:t>VІ. Прикінцеві положення</w:t>
      </w:r>
    </w:p>
    <w:p>
      <w:pPr>
        <w:spacing w:after="295" w:line="240" w:lineRule="auto"/>
        <w:rPr>
          <w:rFonts w:hint="default" w:ascii="Times New Roman" w:hAnsi="Times New Roman" w:eastAsia="Times New Roman" w:cs="Times New Roman"/>
          <w:color w:val="212121"/>
          <w:sz w:val="28"/>
          <w:szCs w:val="28"/>
          <w:lang w:eastAsia="uk-UA"/>
        </w:rPr>
      </w:pPr>
      <w:r>
        <w:rPr>
          <w:rFonts w:hint="default" w:ascii="Times New Roman" w:hAnsi="Times New Roman" w:eastAsia="Times New Roman" w:cs="Times New Roman"/>
          <w:color w:val="212121"/>
          <w:sz w:val="28"/>
          <w:szCs w:val="28"/>
          <w:lang w:eastAsia="uk-UA"/>
        </w:rPr>
        <w:t>6.1.Положення ухвалюється педагогічною радою закладу більшістю голосів і набирає чинності з моменту схвалення.</w:t>
      </w:r>
    </w:p>
    <w:p>
      <w:pPr>
        <w:rPr>
          <w:rFonts w:hint="default" w:ascii="Times New Roman" w:hAnsi="Times New Roman" w:cs="Times New Roman"/>
          <w:sz w:val="28"/>
          <w:szCs w:val="28"/>
        </w:rPr>
      </w:pPr>
    </w:p>
    <w:p>
      <w:pPr>
        <w:jc w:val="both"/>
        <w:rPr>
          <w:rFonts w:hint="default" w:ascii="Times New Roman" w:hAnsi="Times New Roman" w:cs="Times New Roman"/>
          <w:sz w:val="28"/>
          <w:szCs w:val="28"/>
          <w:lang w:val="uk-UA"/>
        </w:rPr>
      </w:pPr>
    </w:p>
    <w:p>
      <w:pPr>
        <w:spacing w:after="0" w:line="240" w:lineRule="auto"/>
        <w:rPr>
          <w:rFonts w:hint="default" w:ascii="Times New Roman" w:hAnsi="Times New Roman" w:cs="Times New Roman"/>
          <w:b/>
          <w:bCs w:val="0"/>
          <w:sz w:val="28"/>
          <w:szCs w:val="28"/>
        </w:rPr>
        <w:sectPr>
          <w:pgSz w:w="11906" w:h="16838"/>
          <w:pgMar w:top="1440" w:right="1800" w:bottom="1440" w:left="1800" w:header="720" w:footer="720" w:gutter="0"/>
          <w:cols w:space="720" w:num="1"/>
          <w:docGrid w:linePitch="360" w:charSpace="0"/>
        </w:sectPr>
      </w:pPr>
      <w:r>
        <w:rPr>
          <w:rFonts w:hint="default" w:ascii="Times New Roman" w:hAnsi="Times New Roman" w:cs="Times New Roman"/>
          <w:sz w:val="28"/>
          <w:szCs w:val="28"/>
          <w:lang w:val="uk-UA"/>
        </w:rPr>
        <w:t>Директор гімназії                                      Ю.І.Дума</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D2C94"/>
    <w:rsid w:val="5FD70F6B"/>
    <w:rsid w:val="636D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2021-03-27T09:48:00Z</dcterms:created>
  <dc:creator>Yuriy</dc:creator>
  <cp:lastModifiedBy>Yuriy</cp:lastModifiedBy>
  <cp:lastPrinted>2021-03-27T14:21:19Z</cp:lastPrinted>
  <dcterms:modified xsi:type="dcterms:W3CDTF">2021-03-27T14:23:09Z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ies>
</file>