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shd w:val="clear" w:color="auto" w:fill="FFFFFF"/>
        <w:tblCellMar>
          <w:left w:w="0" w:type="dxa"/>
          <w:right w:w="0" w:type="dxa"/>
        </w:tblCellMar>
        <w:tblLook w:val="04A0" w:firstRow="1" w:lastRow="0" w:firstColumn="1" w:lastColumn="0" w:noHBand="0" w:noVBand="1"/>
      </w:tblPr>
      <w:tblGrid>
        <w:gridCol w:w="589"/>
        <w:gridCol w:w="10091"/>
      </w:tblGrid>
      <w:tr w:rsidR="00E900BD" w:rsidRPr="00E900BD" w:rsidTr="00E900BD">
        <w:tc>
          <w:tcPr>
            <w:tcW w:w="0" w:type="auto"/>
            <w:tcBorders>
              <w:top w:val="nil"/>
              <w:left w:val="nil"/>
              <w:bottom w:val="nil"/>
              <w:right w:val="nil"/>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right"/>
              <w:rPr>
                <w:rFonts w:ascii="Times New Roman" w:hAnsi="Times New Roman" w:cs="Times New Roman"/>
                <w:sz w:val="28"/>
                <w:szCs w:val="28"/>
              </w:rPr>
            </w:pPr>
          </w:p>
        </w:tc>
        <w:tc>
          <w:tcPr>
            <w:tcW w:w="0" w:type="auto"/>
            <w:tcBorders>
              <w:top w:val="nil"/>
              <w:left w:val="nil"/>
              <w:bottom w:val="nil"/>
              <w:right w:val="nil"/>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right"/>
              <w:rPr>
                <w:rFonts w:ascii="Times New Roman" w:hAnsi="Times New Roman" w:cs="Times New Roman"/>
                <w:sz w:val="28"/>
                <w:szCs w:val="28"/>
              </w:rPr>
            </w:pPr>
            <w:r>
              <w:rPr>
                <w:rFonts w:ascii="Times New Roman" w:hAnsi="Times New Roman" w:cs="Times New Roman"/>
                <w:sz w:val="28"/>
                <w:szCs w:val="28"/>
              </w:rPr>
              <w:t xml:space="preserve">Затверджено </w:t>
            </w:r>
            <w:r>
              <w:rPr>
                <w:rFonts w:ascii="Times New Roman" w:hAnsi="Times New Roman" w:cs="Times New Roman"/>
                <w:sz w:val="28"/>
                <w:szCs w:val="28"/>
              </w:rPr>
              <w:br/>
            </w:r>
            <w:r w:rsidRPr="00E900BD">
              <w:rPr>
                <w:rFonts w:ascii="Times New Roman" w:hAnsi="Times New Roman" w:cs="Times New Roman"/>
                <w:sz w:val="28"/>
                <w:szCs w:val="28"/>
              </w:rPr>
              <w:t>Наказом МОН № 371 від 05.05.2008 року</w:t>
            </w:r>
          </w:p>
        </w:tc>
      </w:tr>
    </w:tbl>
    <w:p w:rsidR="00E900BD" w:rsidRPr="00E900BD" w:rsidRDefault="00E900BD" w:rsidP="00E900BD">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ЗАГАЛЬНІ </w:t>
      </w:r>
      <w:r w:rsidRPr="00E900BD">
        <w:rPr>
          <w:rFonts w:ascii="Times New Roman" w:hAnsi="Times New Roman" w:cs="Times New Roman"/>
          <w:b/>
          <w:sz w:val="28"/>
          <w:szCs w:val="28"/>
        </w:rPr>
        <w:t xml:space="preserve">КРИТЕРІЇ </w:t>
      </w:r>
      <w:r>
        <w:rPr>
          <w:rFonts w:ascii="Times New Roman" w:hAnsi="Times New Roman" w:cs="Times New Roman"/>
          <w:b/>
          <w:sz w:val="28"/>
          <w:szCs w:val="28"/>
        </w:rPr>
        <w:br/>
      </w:r>
      <w:r w:rsidRPr="00E900BD">
        <w:rPr>
          <w:rFonts w:ascii="Times New Roman" w:hAnsi="Times New Roman" w:cs="Times New Roman"/>
          <w:b/>
          <w:sz w:val="28"/>
          <w:szCs w:val="28"/>
        </w:rPr>
        <w:t xml:space="preserve">ОЦІНЮВАННЯ НАВЧАЛЬНИХ ДОСЯГНЕНЬ УЧНІВ </w:t>
      </w:r>
      <w:r>
        <w:rPr>
          <w:rFonts w:ascii="Times New Roman" w:hAnsi="Times New Roman" w:cs="Times New Roman"/>
          <w:b/>
          <w:sz w:val="28"/>
          <w:szCs w:val="28"/>
        </w:rPr>
        <w:br/>
      </w:r>
      <w:r w:rsidRPr="00E900BD">
        <w:rPr>
          <w:rFonts w:ascii="Times New Roman" w:hAnsi="Times New Roman" w:cs="Times New Roman"/>
          <w:b/>
          <w:sz w:val="28"/>
          <w:szCs w:val="28"/>
        </w:rPr>
        <w:t>У СИСТЕМІ ЗАГАЛЬНОЇ СЕРЕДНЬОЇ ОСВІТИ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Удосконалення загальної середньої освіти спрямовано на переорієнтацію процесу навчання на розвиток особистості учня, навчання його самостійно оволодівати новими знаннями. Сучасна молода людина об'єктивно змушена бути більш мобільною, інформованою, критично і творчо мислячою, а значить і більш мотивованою до самонавчання і саморозвитку.</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Новий етап у розвитку шкільної освіти пов'язаний із упровадженням </w:t>
      </w:r>
      <w:proofErr w:type="spellStart"/>
      <w:r w:rsidRPr="00E900BD">
        <w:rPr>
          <w:rFonts w:ascii="Times New Roman" w:hAnsi="Times New Roman" w:cs="Times New Roman"/>
          <w:sz w:val="28"/>
          <w:szCs w:val="28"/>
        </w:rPr>
        <w:t>компетентнісного</w:t>
      </w:r>
      <w:proofErr w:type="spellEnd"/>
      <w:r w:rsidRPr="00E900BD">
        <w:rPr>
          <w:rFonts w:ascii="Times New Roman" w:hAnsi="Times New Roman" w:cs="Times New Roman"/>
          <w:sz w:val="28"/>
          <w:szCs w:val="28"/>
        </w:rPr>
        <w:t xml:space="preserve"> підходу до формування змісту та організації навчального процесу. У чинних навчальних програмах для 12-річної школи на засадах </w:t>
      </w:r>
      <w:proofErr w:type="spellStart"/>
      <w:r w:rsidRPr="00E900BD">
        <w:rPr>
          <w:rFonts w:ascii="Times New Roman" w:hAnsi="Times New Roman" w:cs="Times New Roman"/>
          <w:sz w:val="28"/>
          <w:szCs w:val="28"/>
        </w:rPr>
        <w:t>компетентнісного</w:t>
      </w:r>
      <w:proofErr w:type="spellEnd"/>
      <w:r w:rsidRPr="00E900BD">
        <w:rPr>
          <w:rFonts w:ascii="Times New Roman" w:hAnsi="Times New Roman" w:cs="Times New Roman"/>
          <w:sz w:val="28"/>
          <w:szCs w:val="28"/>
        </w:rPr>
        <w:t xml:space="preserve"> підходу </w:t>
      </w:r>
      <w:proofErr w:type="spellStart"/>
      <w:r w:rsidRPr="00E900BD">
        <w:rPr>
          <w:rFonts w:ascii="Times New Roman" w:hAnsi="Times New Roman" w:cs="Times New Roman"/>
          <w:sz w:val="28"/>
          <w:szCs w:val="28"/>
        </w:rPr>
        <w:t>переструктуровано</w:t>
      </w:r>
      <w:proofErr w:type="spellEnd"/>
      <w:r w:rsidRPr="00E900BD">
        <w:rPr>
          <w:rFonts w:ascii="Times New Roman" w:hAnsi="Times New Roman" w:cs="Times New Roman"/>
          <w:sz w:val="28"/>
          <w:szCs w:val="28"/>
        </w:rPr>
        <w:t xml:space="preserve">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різних видах навчальної діяльності (учень називає, наводить приклади, характеризує, визначає, розпізнає, аналізує, порівнює, робить висновки тощо).</w:t>
      </w:r>
    </w:p>
    <w:p w:rsidR="00E900BD" w:rsidRPr="00E900BD" w:rsidRDefault="00E900BD" w:rsidP="00E900BD">
      <w:pPr>
        <w:ind w:firstLine="709"/>
        <w:jc w:val="both"/>
        <w:rPr>
          <w:rFonts w:ascii="Times New Roman" w:hAnsi="Times New Roman" w:cs="Times New Roman"/>
          <w:sz w:val="28"/>
          <w:szCs w:val="28"/>
        </w:rPr>
      </w:pPr>
      <w:proofErr w:type="spellStart"/>
      <w:r w:rsidRPr="00E900BD">
        <w:rPr>
          <w:rFonts w:ascii="Times New Roman" w:hAnsi="Times New Roman" w:cs="Times New Roman"/>
          <w:sz w:val="28"/>
          <w:szCs w:val="28"/>
        </w:rPr>
        <w:t>Компетентнісна</w:t>
      </w:r>
      <w:proofErr w:type="spellEnd"/>
      <w:r w:rsidRPr="00E900BD">
        <w:rPr>
          <w:rFonts w:ascii="Times New Roman" w:hAnsi="Times New Roman" w:cs="Times New Roman"/>
          <w:sz w:val="28"/>
          <w:szCs w:val="28"/>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E900BD">
        <w:rPr>
          <w:rFonts w:ascii="Times New Roman" w:hAnsi="Times New Roman" w:cs="Times New Roman"/>
          <w:sz w:val="28"/>
          <w:szCs w:val="28"/>
        </w:rPr>
        <w:t>життєво</w:t>
      </w:r>
      <w:proofErr w:type="spellEnd"/>
      <w:r w:rsidRPr="00E900BD">
        <w:rPr>
          <w:rFonts w:ascii="Times New Roman" w:hAnsi="Times New Roman" w:cs="Times New Roman"/>
          <w:sz w:val="28"/>
          <w:szCs w:val="28"/>
        </w:rPr>
        <w:t xml:space="preserve"> необхідних знань і умінь учнів. Упровадження </w:t>
      </w:r>
      <w:proofErr w:type="spellStart"/>
      <w:r w:rsidRPr="00E900BD">
        <w:rPr>
          <w:rFonts w:ascii="Times New Roman" w:hAnsi="Times New Roman" w:cs="Times New Roman"/>
          <w:sz w:val="28"/>
          <w:szCs w:val="28"/>
        </w:rPr>
        <w:t>компетентнісного</w:t>
      </w:r>
      <w:proofErr w:type="spellEnd"/>
      <w:r w:rsidRPr="00E900BD">
        <w:rPr>
          <w:rFonts w:ascii="Times New Roman" w:hAnsi="Times New Roman" w:cs="Times New Roman"/>
          <w:sz w:val="28"/>
          <w:szCs w:val="28"/>
        </w:rPr>
        <w:t xml:space="preserve">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 контексті цього змінюються і підходи до оцінювання результатів навчальних досягнень школярів як складової навчального процесу. Оцінювання має ґрунтуватися на позитивному принципі, що передусім передбачає врахування рівня досягнень учня, а не ступеня його невдач.</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Компетентності не суперечать знанням, умінням, навичкам, вони передбачають здатність </w:t>
      </w:r>
      <w:proofErr w:type="spellStart"/>
      <w:r w:rsidRPr="00E900BD">
        <w:rPr>
          <w:rFonts w:ascii="Times New Roman" w:hAnsi="Times New Roman" w:cs="Times New Roman"/>
          <w:sz w:val="28"/>
          <w:szCs w:val="28"/>
        </w:rPr>
        <w:t>осмислено</w:t>
      </w:r>
      <w:proofErr w:type="spellEnd"/>
      <w:r w:rsidRPr="00E900BD">
        <w:rPr>
          <w:rFonts w:ascii="Times New Roman" w:hAnsi="Times New Roman" w:cs="Times New Roman"/>
          <w:sz w:val="28"/>
          <w:szCs w:val="28"/>
        </w:rPr>
        <w:t xml:space="preserve"> їх використовувати. Удосконалення освітнього процесу з урахуванням </w:t>
      </w:r>
      <w:proofErr w:type="spellStart"/>
      <w:r w:rsidRPr="00E900BD">
        <w:rPr>
          <w:rFonts w:ascii="Times New Roman" w:hAnsi="Times New Roman" w:cs="Times New Roman"/>
          <w:sz w:val="28"/>
          <w:szCs w:val="28"/>
        </w:rPr>
        <w:t>компетентнісного</w:t>
      </w:r>
      <w:proofErr w:type="spellEnd"/>
      <w:r w:rsidRPr="00E900BD">
        <w:rPr>
          <w:rFonts w:ascii="Times New Roman" w:hAnsi="Times New Roman" w:cs="Times New Roman"/>
          <w:sz w:val="28"/>
          <w:szCs w:val="28"/>
        </w:rPr>
        <w:t xml:space="preserve"> підходу полягає в тому, щоб навчити учнів застосовувати набуті знання й уміння в конкретних навчальних та життєвих ситуаціях.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 xml:space="preserve">Вчені виокремлюють </w:t>
      </w:r>
      <w:proofErr w:type="spellStart"/>
      <w:r w:rsidRPr="00E900BD">
        <w:rPr>
          <w:rFonts w:ascii="Times New Roman" w:hAnsi="Times New Roman" w:cs="Times New Roman"/>
          <w:sz w:val="28"/>
          <w:szCs w:val="28"/>
        </w:rPr>
        <w:t>трьохрівневу</w:t>
      </w:r>
      <w:proofErr w:type="spellEnd"/>
      <w:r w:rsidRPr="00E900BD">
        <w:rPr>
          <w:rFonts w:ascii="Times New Roman" w:hAnsi="Times New Roman" w:cs="Times New Roman"/>
          <w:sz w:val="28"/>
          <w:szCs w:val="28"/>
        </w:rPr>
        <w:t xml:space="preserve"> ієрархію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 Предметні - формуються засобами навчальних предметів. Міжпредметні - належить до групи предметів або освітніх галузей. </w:t>
      </w:r>
      <w:proofErr w:type="spellStart"/>
      <w:r w:rsidRPr="00E900BD">
        <w:rPr>
          <w:rFonts w:ascii="Times New Roman" w:hAnsi="Times New Roman" w:cs="Times New Roman"/>
          <w:sz w:val="28"/>
          <w:szCs w:val="28"/>
        </w:rPr>
        <w:t>Компетентнісна</w:t>
      </w:r>
      <w:proofErr w:type="spellEnd"/>
      <w:r w:rsidRPr="00E900BD">
        <w:rPr>
          <w:rFonts w:ascii="Times New Roman" w:hAnsi="Times New Roman" w:cs="Times New Roman"/>
          <w:sz w:val="28"/>
          <w:szCs w:val="28"/>
        </w:rPr>
        <w:t xml:space="preserve"> освіта на предметному та міжпредметному рівнях орієнтована на засвоєння особистістю конкретних навчальних результатів - знань, умінь, навичок, формування ставлень, досвіду, рівень засвоєння яких дозволяє їй діяти адекватно у певних навчальних і життєвих ситуаціях.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Найбільш універсальними є ключові компетентності, які формуються засобами міжпредметного і предметного змісту Перелік ключових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 xml:space="preserve"> визначається на основі цілей загальної середньої освіти та основних видів діяльності учнів, які сприяють оволодінню соціальним досвідом, навичками життя й практичної діяльності в суспільстві.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Міжнародна спільнота </w:t>
      </w:r>
      <w:proofErr w:type="spellStart"/>
      <w:r w:rsidRPr="00E900BD">
        <w:rPr>
          <w:rFonts w:ascii="Times New Roman" w:hAnsi="Times New Roman" w:cs="Times New Roman"/>
          <w:sz w:val="28"/>
          <w:szCs w:val="28"/>
        </w:rPr>
        <w:t>компетентнісний</w:t>
      </w:r>
      <w:proofErr w:type="spellEnd"/>
      <w:r w:rsidRPr="00E900BD">
        <w:rPr>
          <w:rFonts w:ascii="Times New Roman" w:hAnsi="Times New Roman" w:cs="Times New Roman"/>
          <w:sz w:val="28"/>
          <w:szCs w:val="28"/>
        </w:rPr>
        <w:t xml:space="preserve"> підхід вважає дієвим інструментом поліпшення якості освіти.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Рада Європи, проводячи міжнародні дослідження, поглиблюючи та розвиваючи поняття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 xml:space="preserve">, пропонує перелік ключових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 якими мають володіти молоді європейці: політичні та соціальні компетентності; компетентності, пов'язані з життям у багатокультурному суспільстві; компетентності, що стосуються володіння усним та письмовим спілкуванням, компетентності, пов'язані з розвитком інформаційного суспільства; здатність вчитися протягом життя. Пізніше вони були об'єднані в три основні напрями: соціальні, пов'язані з соціальною діяльністю особистості, життям суспільства; мотиваційні, пов'язані з інтересами, індивідуальним вибором особистості; функціональні, пов'язані зі сферою знань, умінням оперувати науковими знаннями та фактичним матеріалом.</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На підставі міжнародних та національних досліджень в Україні виокремлено п'ять наскрізних ключових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Уміння вчитися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E900BD" w:rsidRPr="00E900BD" w:rsidRDefault="00E900BD" w:rsidP="00E900BD">
      <w:pPr>
        <w:ind w:firstLine="709"/>
        <w:jc w:val="both"/>
        <w:rPr>
          <w:rFonts w:ascii="Times New Roman" w:hAnsi="Times New Roman" w:cs="Times New Roman"/>
          <w:sz w:val="28"/>
          <w:szCs w:val="28"/>
        </w:rPr>
      </w:pPr>
      <w:proofErr w:type="spellStart"/>
      <w:r w:rsidRPr="00E900BD">
        <w:rPr>
          <w:rFonts w:ascii="Times New Roman" w:hAnsi="Times New Roman" w:cs="Times New Roman"/>
          <w:sz w:val="28"/>
          <w:szCs w:val="28"/>
        </w:rPr>
        <w:t>Здоров'язбережувальна</w:t>
      </w:r>
      <w:proofErr w:type="spellEnd"/>
      <w:r w:rsidRPr="00E900BD">
        <w:rPr>
          <w:rFonts w:ascii="Times New Roman" w:hAnsi="Times New Roman" w:cs="Times New Roman"/>
          <w:sz w:val="28"/>
          <w:szCs w:val="28"/>
        </w:rPr>
        <w:t xml:space="preserve"> компетентність - пов'язана з готовністю вести здоровий спосіб життя у фізичній, соціальній, психічній та духовній сферах.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Загальнокультурна (комунікативна) компетентність </w:t>
      </w:r>
      <w:r w:rsidRPr="00E900BD">
        <w:rPr>
          <w:rFonts w:ascii="Times New Roman" w:hAnsi="Times New Roman" w:cs="Times New Roman"/>
          <w:sz w:val="28"/>
          <w:szCs w:val="28"/>
        </w:rPr>
        <w:noBreakHyphen/>
        <w:t xml:space="preserve"> передбачає опанування спілкуванням у сфері культурних, </w:t>
      </w:r>
      <w:proofErr w:type="spellStart"/>
      <w:r w:rsidRPr="00E900BD">
        <w:rPr>
          <w:rFonts w:ascii="Times New Roman" w:hAnsi="Times New Roman" w:cs="Times New Roman"/>
          <w:sz w:val="28"/>
          <w:szCs w:val="28"/>
        </w:rPr>
        <w:t>мовних</w:t>
      </w:r>
      <w:proofErr w:type="spellEnd"/>
      <w:r w:rsidRPr="00E900BD">
        <w:rPr>
          <w:rFonts w:ascii="Times New Roman" w:hAnsi="Times New Roman" w:cs="Times New Roman"/>
          <w:sz w:val="28"/>
          <w:szCs w:val="28"/>
        </w:rPr>
        <w:t>, релігійних відносин; здатність цінувати найважливіші досягнення національної, європейської та світової культур.</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 xml:space="preserve">Соціально-трудова компетентність </w:t>
      </w:r>
      <w:r w:rsidRPr="00E900BD">
        <w:rPr>
          <w:rFonts w:ascii="Times New Roman" w:hAnsi="Times New Roman" w:cs="Times New Roman"/>
          <w:sz w:val="28"/>
          <w:szCs w:val="28"/>
        </w:rPr>
        <w:noBreakHyphen/>
        <w:t>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Інформаційна компетентність </w:t>
      </w:r>
      <w:r w:rsidRPr="00E900BD">
        <w:rPr>
          <w:rFonts w:ascii="Times New Roman" w:hAnsi="Times New Roman" w:cs="Times New Roman"/>
          <w:sz w:val="28"/>
          <w:szCs w:val="28"/>
        </w:rPr>
        <w:noBreakHyphen/>
        <w:t>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E900BD" w:rsidRPr="00E900BD" w:rsidRDefault="00E900BD" w:rsidP="00E900BD">
      <w:pPr>
        <w:ind w:firstLine="709"/>
        <w:jc w:val="both"/>
        <w:rPr>
          <w:rFonts w:ascii="Times New Roman" w:hAnsi="Times New Roman" w:cs="Times New Roman"/>
          <w:b/>
          <w:sz w:val="28"/>
          <w:szCs w:val="28"/>
        </w:rPr>
      </w:pPr>
      <w:r w:rsidRPr="00E900BD">
        <w:rPr>
          <w:rFonts w:ascii="Times New Roman" w:hAnsi="Times New Roman" w:cs="Times New Roman"/>
          <w:b/>
          <w:sz w:val="28"/>
          <w:szCs w:val="28"/>
        </w:rPr>
        <w:t>Основними функціями оцінювання навчальних досягнень учнів є:</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контролююча</w:t>
      </w:r>
      <w:r w:rsidRPr="00E900BD">
        <w:rPr>
          <w:rFonts w:ascii="Times New Roman" w:hAnsi="Times New Roman" w:cs="Times New Roman"/>
          <w:sz w:val="28"/>
          <w:szCs w:val="28"/>
        </w:rPr>
        <w:t> </w:t>
      </w:r>
      <w:r w:rsidRPr="00E900BD">
        <w:rPr>
          <w:rFonts w:ascii="Times New Roman" w:hAnsi="Times New Roman" w:cs="Times New Roman"/>
          <w:sz w:val="28"/>
          <w:szCs w:val="28"/>
        </w:rPr>
        <w:noBreakHyphen/>
        <w:t>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навчальна</w:t>
      </w:r>
      <w:r w:rsidRPr="00E900BD">
        <w:rPr>
          <w:rFonts w:ascii="Times New Roman" w:hAnsi="Times New Roman" w:cs="Times New Roman"/>
          <w:sz w:val="28"/>
          <w:szCs w:val="28"/>
        </w:rPr>
        <w:t> </w:t>
      </w:r>
      <w:r w:rsidRPr="00E900BD">
        <w:rPr>
          <w:rFonts w:ascii="Times New Roman" w:hAnsi="Times New Roman" w:cs="Times New Roman"/>
          <w:sz w:val="28"/>
          <w:szCs w:val="28"/>
        </w:rPr>
        <w:noBreakHyphen/>
        <w:t> сприяє повторенню, уточненню й поглибленню знань, їх систематизації, вдосконаленню умінь та навичок;</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діагностико-коригувальна </w:t>
      </w:r>
      <w:r w:rsidRPr="00E900BD">
        <w:rPr>
          <w:rFonts w:ascii="Times New Roman" w:hAnsi="Times New Roman" w:cs="Times New Roman"/>
          <w:b/>
          <w:sz w:val="28"/>
          <w:szCs w:val="28"/>
        </w:rPr>
        <w:noBreakHyphen/>
      </w:r>
      <w:r w:rsidRPr="00E900BD">
        <w:rPr>
          <w:rFonts w:ascii="Times New Roman" w:hAnsi="Times New Roman" w:cs="Times New Roman"/>
          <w:sz w:val="28"/>
          <w:szCs w:val="28"/>
        </w:rPr>
        <w:t>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E900BD" w:rsidRPr="00E900BD" w:rsidRDefault="00E900BD" w:rsidP="00E900BD">
      <w:pPr>
        <w:ind w:firstLine="709"/>
        <w:jc w:val="both"/>
        <w:rPr>
          <w:rFonts w:ascii="Times New Roman" w:hAnsi="Times New Roman" w:cs="Times New Roman"/>
          <w:sz w:val="28"/>
          <w:szCs w:val="28"/>
        </w:rPr>
      </w:pPr>
      <w:proofErr w:type="spellStart"/>
      <w:r w:rsidRPr="00E900BD">
        <w:rPr>
          <w:rFonts w:ascii="Times New Roman" w:hAnsi="Times New Roman" w:cs="Times New Roman"/>
          <w:b/>
          <w:sz w:val="28"/>
          <w:szCs w:val="28"/>
        </w:rPr>
        <w:t>стимулювально</w:t>
      </w:r>
      <w:proofErr w:type="spellEnd"/>
      <w:r w:rsidRPr="00E900BD">
        <w:rPr>
          <w:rFonts w:ascii="Times New Roman" w:hAnsi="Times New Roman" w:cs="Times New Roman"/>
          <w:b/>
          <w:sz w:val="28"/>
          <w:szCs w:val="28"/>
        </w:rPr>
        <w:t>-мотиваційна</w:t>
      </w:r>
      <w:r w:rsidRPr="00E900BD">
        <w:rPr>
          <w:rFonts w:ascii="Times New Roman" w:hAnsi="Times New Roman" w:cs="Times New Roman"/>
          <w:sz w:val="28"/>
          <w:szCs w:val="28"/>
        </w:rPr>
        <w:t xml:space="preserve"> </w:t>
      </w:r>
      <w:r w:rsidRPr="00E900BD">
        <w:rPr>
          <w:rFonts w:ascii="Times New Roman" w:hAnsi="Times New Roman" w:cs="Times New Roman"/>
          <w:sz w:val="28"/>
          <w:szCs w:val="28"/>
        </w:rPr>
        <w:noBreakHyphen/>
        <w:t> формує позитивні мотиви навчання;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виховна</w:t>
      </w:r>
      <w:r w:rsidRPr="00E900BD">
        <w:rPr>
          <w:rFonts w:ascii="Times New Roman" w:hAnsi="Times New Roman" w:cs="Times New Roman"/>
          <w:sz w:val="28"/>
          <w:szCs w:val="28"/>
        </w:rPr>
        <w:t xml:space="preserve"> - сприяє формуванню умінь </w:t>
      </w:r>
      <w:proofErr w:type="spellStart"/>
      <w:r w:rsidRPr="00E900BD">
        <w:rPr>
          <w:rFonts w:ascii="Times New Roman" w:hAnsi="Times New Roman" w:cs="Times New Roman"/>
          <w:sz w:val="28"/>
          <w:szCs w:val="28"/>
        </w:rPr>
        <w:t>відповідально</w:t>
      </w:r>
      <w:proofErr w:type="spellEnd"/>
      <w:r w:rsidRPr="00E900BD">
        <w:rPr>
          <w:rFonts w:ascii="Times New Roman" w:hAnsi="Times New Roman" w:cs="Times New Roman"/>
          <w:sz w:val="28"/>
          <w:szCs w:val="28"/>
        </w:rPr>
        <w:t xml:space="preserve"> й зосереджено працювати, застосовувати прийоми контролю й самоконтролю, рефлексії навчальної діяльності.</w:t>
      </w:r>
    </w:p>
    <w:p w:rsidR="00E900BD" w:rsidRPr="00E900BD" w:rsidRDefault="00E900BD" w:rsidP="00E900BD">
      <w:pPr>
        <w:ind w:firstLine="709"/>
        <w:jc w:val="both"/>
        <w:rPr>
          <w:rFonts w:ascii="Times New Roman" w:hAnsi="Times New Roman" w:cs="Times New Roman"/>
          <w:b/>
          <w:sz w:val="28"/>
          <w:szCs w:val="28"/>
        </w:rPr>
      </w:pPr>
      <w:r w:rsidRPr="00E900BD">
        <w:rPr>
          <w:rFonts w:ascii="Times New Roman" w:hAnsi="Times New Roman" w:cs="Times New Roman"/>
          <w:b/>
          <w:sz w:val="28"/>
          <w:szCs w:val="28"/>
        </w:rPr>
        <w:t>При оцінюванні навчальних досягнень учнів мають ураховуватися: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u w:val="single"/>
        </w:rPr>
        <w:t>характеристики відповіді учня</w:t>
      </w:r>
      <w:r w:rsidRPr="00E900BD">
        <w:rPr>
          <w:rFonts w:ascii="Times New Roman" w:hAnsi="Times New Roman" w:cs="Times New Roman"/>
          <w:sz w:val="28"/>
          <w:szCs w:val="28"/>
        </w:rPr>
        <w:t>: правильність, логічність, обґрунтованість, цілісність;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u w:val="single"/>
        </w:rPr>
        <w:t>якість знань</w:t>
      </w:r>
      <w:r w:rsidRPr="00E900BD">
        <w:rPr>
          <w:rFonts w:ascii="Times New Roman" w:hAnsi="Times New Roman" w:cs="Times New Roman"/>
          <w:sz w:val="28"/>
          <w:szCs w:val="28"/>
        </w:rPr>
        <w:t>: повнота, глибина, гнучкість, системність, міцність;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сформованість </w:t>
      </w:r>
      <w:proofErr w:type="spellStart"/>
      <w:r w:rsidRPr="00E900BD">
        <w:rPr>
          <w:rFonts w:ascii="Times New Roman" w:hAnsi="Times New Roman" w:cs="Times New Roman"/>
          <w:sz w:val="28"/>
          <w:szCs w:val="28"/>
        </w:rPr>
        <w:t>загальнонавчальних</w:t>
      </w:r>
      <w:proofErr w:type="spellEnd"/>
      <w:r w:rsidRPr="00E900BD">
        <w:rPr>
          <w:rFonts w:ascii="Times New Roman" w:hAnsi="Times New Roman" w:cs="Times New Roman"/>
          <w:sz w:val="28"/>
          <w:szCs w:val="28"/>
        </w:rPr>
        <w:t xml:space="preserve"> та предметних умінь і навичок;</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u w:val="single"/>
        </w:rPr>
        <w:t>рівень володіння розумовими операціями</w:t>
      </w:r>
      <w:r w:rsidRPr="00E900BD">
        <w:rPr>
          <w:rFonts w:ascii="Times New Roman" w:hAnsi="Times New Roman" w:cs="Times New Roman"/>
          <w:sz w:val="28"/>
          <w:szCs w:val="28"/>
        </w:rPr>
        <w:t>: вміння аналізувати, синтезувати, порівнювати, абстрагувати, класифікувати, узагальнювати, робити висновки тощо;</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досвід творчої діяльності (вміння виявляти проблеми та розв'язувати їх, формулювати гіпотези);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самостійність оцінних суджень.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Характеристики якості знань взаємопов'язані між собою і доповнюють одна одну.</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Повнота знань </w:t>
      </w:r>
      <w:r w:rsidRPr="00E900BD">
        <w:rPr>
          <w:rFonts w:ascii="Times New Roman" w:hAnsi="Times New Roman" w:cs="Times New Roman"/>
          <w:sz w:val="28"/>
          <w:szCs w:val="28"/>
        </w:rPr>
        <w:noBreakHyphen/>
        <w:t xml:space="preserve"> кількість знань, визначених навчальною програмою.</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Глибина знань </w:t>
      </w:r>
      <w:r w:rsidRPr="00E900BD">
        <w:rPr>
          <w:rFonts w:ascii="Times New Roman" w:hAnsi="Times New Roman" w:cs="Times New Roman"/>
          <w:sz w:val="28"/>
          <w:szCs w:val="28"/>
        </w:rPr>
        <w:noBreakHyphen/>
        <w:t xml:space="preserve"> усвідомленість існуючих </w:t>
      </w:r>
      <w:proofErr w:type="spellStart"/>
      <w:r w:rsidRPr="00E900BD">
        <w:rPr>
          <w:rFonts w:ascii="Times New Roman" w:hAnsi="Times New Roman" w:cs="Times New Roman"/>
          <w:sz w:val="28"/>
          <w:szCs w:val="28"/>
        </w:rPr>
        <w:t>зв'язків</w:t>
      </w:r>
      <w:proofErr w:type="spellEnd"/>
      <w:r w:rsidRPr="00E900BD">
        <w:rPr>
          <w:rFonts w:ascii="Times New Roman" w:hAnsi="Times New Roman" w:cs="Times New Roman"/>
          <w:sz w:val="28"/>
          <w:szCs w:val="28"/>
        </w:rPr>
        <w:t xml:space="preserve"> між групами знань.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Гнучкість знань </w:t>
      </w:r>
      <w:r w:rsidRPr="00E900BD">
        <w:rPr>
          <w:rFonts w:ascii="Times New Roman" w:hAnsi="Times New Roman" w:cs="Times New Roman"/>
          <w:sz w:val="28"/>
          <w:szCs w:val="28"/>
        </w:rPr>
        <w:noBreakHyphen/>
        <w:t>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Системність знань </w:t>
      </w:r>
      <w:r w:rsidRPr="00E900BD">
        <w:rPr>
          <w:rFonts w:ascii="Times New Roman" w:hAnsi="Times New Roman" w:cs="Times New Roman"/>
          <w:sz w:val="28"/>
          <w:szCs w:val="28"/>
        </w:rPr>
        <w:noBreakHyphen/>
        <w:t xml:space="preserve"> усвідомлення структури знань, їх ієрархії і послідовності, тобто усвідомлення одних знань як базових для інших.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Міцність знань </w:t>
      </w:r>
      <w:r w:rsidRPr="00E900BD">
        <w:rPr>
          <w:rFonts w:ascii="Times New Roman" w:hAnsi="Times New Roman" w:cs="Times New Roman"/>
          <w:sz w:val="28"/>
          <w:szCs w:val="28"/>
        </w:rPr>
        <w:noBreakHyphen/>
        <w:t xml:space="preserve"> тривалість збереження їх в пам'яті, відтворення їх в необхідних ситуаціях.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Знання є складовою умінь учнів діяти.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Уміння виявляються в різних видах діяльності і поділяються на розумові і практичні.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Навички </w:t>
      </w:r>
      <w:r w:rsidRPr="00E900BD">
        <w:rPr>
          <w:rFonts w:ascii="Times New Roman" w:hAnsi="Times New Roman" w:cs="Times New Roman"/>
          <w:sz w:val="28"/>
          <w:szCs w:val="28"/>
        </w:rPr>
        <w:noBreakHyphen/>
        <w:t> дії доведені до автоматизму у результаті виконання вправ. Для сформованих навичок характерні швидкість і точність відтворення.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E900BD">
        <w:rPr>
          <w:rFonts w:ascii="Times New Roman" w:hAnsi="Times New Roman" w:cs="Times New Roman"/>
          <w:sz w:val="28"/>
          <w:szCs w:val="28"/>
        </w:rPr>
        <w:t>компетентнісної</w:t>
      </w:r>
      <w:proofErr w:type="spellEnd"/>
      <w:r w:rsidRPr="00E900BD">
        <w:rPr>
          <w:rFonts w:ascii="Times New Roman" w:hAnsi="Times New Roman" w:cs="Times New Roman"/>
          <w:sz w:val="28"/>
          <w:szCs w:val="28"/>
        </w:rPr>
        <w:t xml:space="preserve">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E900BD" w:rsidRPr="00E900BD" w:rsidRDefault="00E900BD" w:rsidP="00E900BD">
      <w:pPr>
        <w:ind w:firstLine="709"/>
        <w:jc w:val="both"/>
        <w:rPr>
          <w:rFonts w:ascii="Times New Roman" w:hAnsi="Times New Roman" w:cs="Times New Roman"/>
          <w:b/>
          <w:sz w:val="28"/>
          <w:szCs w:val="28"/>
        </w:rPr>
      </w:pPr>
      <w:r w:rsidRPr="00E900BD">
        <w:rPr>
          <w:rFonts w:ascii="Times New Roman" w:hAnsi="Times New Roman" w:cs="Times New Roman"/>
          <w:sz w:val="28"/>
          <w:szCs w:val="28"/>
        </w:rPr>
        <w:t>Названі вище орієнтири покладено в основу чотирьох рівнів навчальних досягнень учнів: </w:t>
      </w:r>
      <w:r w:rsidRPr="00E900BD">
        <w:rPr>
          <w:rFonts w:ascii="Times New Roman" w:hAnsi="Times New Roman" w:cs="Times New Roman"/>
          <w:b/>
          <w:sz w:val="28"/>
          <w:szCs w:val="28"/>
        </w:rPr>
        <w:t>початкового, середнього, достатнього, високого.</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Вони визначаються за такими характеристиками: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Перший рівень</w:t>
      </w:r>
      <w:r w:rsidRPr="00E900BD">
        <w:rPr>
          <w:rFonts w:ascii="Times New Roman" w:hAnsi="Times New Roman" w:cs="Times New Roman"/>
          <w:sz w:val="28"/>
          <w:szCs w:val="28"/>
        </w:rPr>
        <w:t xml:space="preserve"> </w:t>
      </w:r>
      <w:r w:rsidRPr="00E900BD">
        <w:rPr>
          <w:rFonts w:ascii="Times New Roman" w:hAnsi="Times New Roman" w:cs="Times New Roman"/>
          <w:sz w:val="28"/>
          <w:szCs w:val="28"/>
        </w:rPr>
        <w:noBreakHyphen/>
        <w:t xml:space="preserve"> </w:t>
      </w:r>
      <w:r w:rsidRPr="00E900BD">
        <w:rPr>
          <w:rFonts w:ascii="Times New Roman" w:hAnsi="Times New Roman" w:cs="Times New Roman"/>
          <w:b/>
          <w:sz w:val="28"/>
          <w:szCs w:val="28"/>
        </w:rPr>
        <w:t>початковий</w:t>
      </w:r>
      <w:r w:rsidRPr="00E900BD">
        <w:rPr>
          <w:rFonts w:ascii="Times New Roman" w:hAnsi="Times New Roman" w:cs="Times New Roman"/>
          <w:sz w:val="28"/>
          <w:szCs w:val="28"/>
        </w:rPr>
        <w:t>. Відповідь учня (учениці) фрагментарна, характеризується початковими уявленнями про предмет вивчення.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Другий рівень</w:t>
      </w:r>
      <w:r w:rsidRPr="00E900BD">
        <w:rPr>
          <w:rFonts w:ascii="Times New Roman" w:hAnsi="Times New Roman" w:cs="Times New Roman"/>
          <w:sz w:val="28"/>
          <w:szCs w:val="28"/>
        </w:rPr>
        <w:t xml:space="preserve"> </w:t>
      </w:r>
      <w:r w:rsidRPr="00E900BD">
        <w:rPr>
          <w:rFonts w:ascii="Times New Roman" w:hAnsi="Times New Roman" w:cs="Times New Roman"/>
          <w:sz w:val="28"/>
          <w:szCs w:val="28"/>
        </w:rPr>
        <w:noBreakHyphen/>
        <w:t xml:space="preserve"> </w:t>
      </w:r>
      <w:r w:rsidRPr="00E900BD">
        <w:rPr>
          <w:rFonts w:ascii="Times New Roman" w:hAnsi="Times New Roman" w:cs="Times New Roman"/>
          <w:b/>
          <w:sz w:val="28"/>
          <w:szCs w:val="28"/>
        </w:rPr>
        <w:t>середній.</w:t>
      </w:r>
      <w:r w:rsidRPr="00E900BD">
        <w:rPr>
          <w:rFonts w:ascii="Times New Roman" w:hAnsi="Times New Roman" w:cs="Times New Roman"/>
          <w:sz w:val="28"/>
          <w:szCs w:val="28"/>
        </w:rPr>
        <w:t> Учень (учениця) відтворює основний навчальний матеріал, виконує завдання за зразком, володіє елементарними вміннями навчальної діяльності.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lastRenderedPageBreak/>
        <w:t>Третій рівень</w:t>
      </w:r>
      <w:r w:rsidRPr="00E900BD">
        <w:rPr>
          <w:rFonts w:ascii="Times New Roman" w:hAnsi="Times New Roman" w:cs="Times New Roman"/>
          <w:sz w:val="28"/>
          <w:szCs w:val="28"/>
        </w:rPr>
        <w:t xml:space="preserve"> - </w:t>
      </w:r>
      <w:r w:rsidRPr="00E900BD">
        <w:rPr>
          <w:rFonts w:ascii="Times New Roman" w:hAnsi="Times New Roman" w:cs="Times New Roman"/>
          <w:b/>
          <w:sz w:val="28"/>
          <w:szCs w:val="28"/>
        </w:rPr>
        <w:t>достатній.</w:t>
      </w:r>
      <w:r w:rsidRPr="00E900BD">
        <w:rPr>
          <w:rFonts w:ascii="Times New Roman" w:hAnsi="Times New Roman" w:cs="Times New Roman"/>
          <w:sz w:val="28"/>
          <w:szCs w:val="28"/>
        </w:rPr>
        <w:t>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b/>
          <w:sz w:val="28"/>
          <w:szCs w:val="28"/>
        </w:rPr>
        <w:t xml:space="preserve">Четвертий рівень </w:t>
      </w:r>
      <w:r w:rsidRPr="00E900BD">
        <w:rPr>
          <w:rFonts w:ascii="Times New Roman" w:hAnsi="Times New Roman" w:cs="Times New Roman"/>
          <w:b/>
          <w:sz w:val="28"/>
          <w:szCs w:val="28"/>
        </w:rPr>
        <w:noBreakHyphen/>
        <w:t xml:space="preserve"> високий</w:t>
      </w:r>
      <w:r w:rsidRPr="00E900BD">
        <w:rPr>
          <w:rFonts w:ascii="Times New Roman" w:hAnsi="Times New Roman" w:cs="Times New Roman"/>
          <w:sz w:val="28"/>
          <w:szCs w:val="28"/>
        </w:rPr>
        <w:t>.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E900BD" w:rsidRPr="00A50D22" w:rsidRDefault="00E900BD" w:rsidP="00E900BD">
      <w:pPr>
        <w:ind w:firstLine="709"/>
        <w:jc w:val="both"/>
        <w:rPr>
          <w:rFonts w:ascii="Times New Roman" w:hAnsi="Times New Roman" w:cs="Times New Roman"/>
          <w:b/>
          <w:i/>
          <w:sz w:val="28"/>
          <w:szCs w:val="28"/>
        </w:rPr>
      </w:pPr>
      <w:r w:rsidRPr="00A50D22">
        <w:rPr>
          <w:rFonts w:ascii="Times New Roman" w:hAnsi="Times New Roman" w:cs="Times New Roman"/>
          <w:b/>
          <w:i/>
          <w:sz w:val="28"/>
          <w:szCs w:val="28"/>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Кожний наступний рівень вимог вбирає в себе вимоги до попереднього, а також додає нові характеристики.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tbl>
      <w:tblPr>
        <w:tblW w:w="10640" w:type="dxa"/>
        <w:shd w:val="clear" w:color="auto" w:fill="FFFFFF"/>
        <w:tblLayout w:type="fixed"/>
        <w:tblCellMar>
          <w:left w:w="0" w:type="dxa"/>
          <w:right w:w="0" w:type="dxa"/>
        </w:tblCellMar>
        <w:tblLook w:val="04A0" w:firstRow="1" w:lastRow="0" w:firstColumn="1" w:lastColumn="0" w:noHBand="0" w:noVBand="1"/>
      </w:tblPr>
      <w:tblGrid>
        <w:gridCol w:w="1860"/>
        <w:gridCol w:w="1692"/>
        <w:gridCol w:w="7088"/>
      </w:tblGrid>
      <w:tr w:rsidR="00E900BD" w:rsidRPr="00E900BD" w:rsidTr="00A50D22">
        <w:trPr>
          <w:trHeight w:val="937"/>
        </w:trPr>
        <w:tc>
          <w:tcPr>
            <w:tcW w:w="1860" w:type="dxa"/>
            <w:tcBorders>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rPr>
                <w:rFonts w:ascii="Times New Roman" w:hAnsi="Times New Roman" w:cs="Times New Roman"/>
                <w:b/>
                <w:sz w:val="28"/>
                <w:szCs w:val="28"/>
              </w:rPr>
            </w:pPr>
            <w:r w:rsidRPr="00E900BD">
              <w:rPr>
                <w:rFonts w:ascii="Times New Roman" w:hAnsi="Times New Roman" w:cs="Times New Roman"/>
                <w:b/>
                <w:sz w:val="28"/>
                <w:szCs w:val="28"/>
              </w:rPr>
              <w:t>Рівні навчальних досягнень</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rPr>
                <w:rFonts w:ascii="Times New Roman" w:hAnsi="Times New Roman" w:cs="Times New Roman"/>
                <w:b/>
                <w:sz w:val="28"/>
                <w:szCs w:val="28"/>
              </w:rPr>
            </w:pPr>
            <w:r w:rsidRPr="00E900BD">
              <w:rPr>
                <w:rFonts w:ascii="Times New Roman" w:hAnsi="Times New Roman" w:cs="Times New Roman"/>
                <w:b/>
                <w:sz w:val="28"/>
                <w:szCs w:val="28"/>
              </w:rPr>
              <w:t>Бали</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rPr>
                <w:rFonts w:ascii="Times New Roman" w:hAnsi="Times New Roman" w:cs="Times New Roman"/>
                <w:b/>
                <w:sz w:val="28"/>
                <w:szCs w:val="28"/>
              </w:rPr>
            </w:pPr>
            <w:r w:rsidRPr="00E900BD">
              <w:rPr>
                <w:rFonts w:ascii="Times New Roman" w:hAnsi="Times New Roman" w:cs="Times New Roman"/>
                <w:b/>
                <w:sz w:val="28"/>
                <w:szCs w:val="28"/>
              </w:rPr>
              <w:t>Загальні критерії оцінювання навчальних досягнень учнів</w:t>
            </w:r>
          </w:p>
        </w:tc>
      </w:tr>
      <w:tr w:rsidR="00E900BD" w:rsidRPr="00E900BD" w:rsidTr="00A50D22">
        <w:tc>
          <w:tcPr>
            <w:tcW w:w="1860" w:type="dxa"/>
            <w:vMerge w:val="restart"/>
            <w:tcBorders>
              <w:top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I. Початковий</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розрізняє об'єкти вивчення</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bottom"/>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відтворює незначну частину навчального матеріалу, має нечіткі уявлення про об'єкт вивчення</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bottom"/>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відтворює частину навчального матеріалу; з допомогою вчителя виконує елементарні завдання</w:t>
            </w:r>
          </w:p>
        </w:tc>
      </w:tr>
      <w:tr w:rsidR="00E900BD" w:rsidRPr="00E900BD" w:rsidTr="00A50D22">
        <w:tc>
          <w:tcPr>
            <w:tcW w:w="1860" w:type="dxa"/>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з допомогою вчителя відтворює основний навчальний матеріал, може повторити за зразком певну операцію, дію</w:t>
            </w:r>
          </w:p>
        </w:tc>
      </w:tr>
      <w:tr w:rsidR="00E900BD" w:rsidRPr="00E900BD" w:rsidTr="00A50D22">
        <w:tc>
          <w:tcPr>
            <w:tcW w:w="1860" w:type="dxa"/>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II. </w:t>
            </w:r>
            <w:r>
              <w:rPr>
                <w:rFonts w:ascii="Times New Roman" w:hAnsi="Times New Roman" w:cs="Times New Roman"/>
                <w:sz w:val="28"/>
                <w:szCs w:val="28"/>
              </w:rPr>
              <w:t xml:space="preserve">   </w:t>
            </w:r>
            <w:r w:rsidRPr="00E900BD">
              <w:rPr>
                <w:rFonts w:ascii="Times New Roman" w:hAnsi="Times New Roman" w:cs="Times New Roman"/>
                <w:sz w:val="28"/>
                <w:szCs w:val="28"/>
              </w:rPr>
              <w:t>Середній</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bottom"/>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Учень (учениця) відтворює основний навчальний матеріал, здатний з помилками й </w:t>
            </w:r>
            <w:proofErr w:type="spellStart"/>
            <w:r w:rsidRPr="00E900BD">
              <w:rPr>
                <w:rFonts w:ascii="Times New Roman" w:hAnsi="Times New Roman" w:cs="Times New Roman"/>
                <w:sz w:val="28"/>
                <w:szCs w:val="28"/>
              </w:rPr>
              <w:t>неточностями</w:t>
            </w:r>
            <w:proofErr w:type="spellEnd"/>
            <w:r w:rsidRPr="00E900BD">
              <w:rPr>
                <w:rFonts w:ascii="Times New Roman" w:hAnsi="Times New Roman" w:cs="Times New Roman"/>
                <w:sz w:val="28"/>
                <w:szCs w:val="28"/>
              </w:rPr>
              <w:t xml:space="preserve"> дати </w:t>
            </w:r>
            <w:r w:rsidRPr="00E900BD">
              <w:rPr>
                <w:rFonts w:ascii="Times New Roman" w:hAnsi="Times New Roman" w:cs="Times New Roman"/>
                <w:sz w:val="28"/>
                <w:szCs w:val="28"/>
              </w:rPr>
              <w:lastRenderedPageBreak/>
              <w:t>визначення понять, сформулювати правило</w:t>
            </w:r>
          </w:p>
        </w:tc>
      </w:tr>
      <w:tr w:rsidR="00E900BD" w:rsidRPr="00E900BD" w:rsidTr="00A50D22">
        <w:tc>
          <w:tcPr>
            <w:tcW w:w="1860" w:type="dxa"/>
            <w:vMerge w:val="restart"/>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 </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6</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7</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E900BD" w:rsidRPr="00E900BD" w:rsidTr="00A50D22">
        <w:tc>
          <w:tcPr>
            <w:tcW w:w="1860" w:type="dxa"/>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jc w:val="both"/>
              <w:rPr>
                <w:rFonts w:ascii="Times New Roman" w:hAnsi="Times New Roman" w:cs="Times New Roman"/>
                <w:sz w:val="28"/>
                <w:szCs w:val="28"/>
              </w:rPr>
            </w:pPr>
            <w:r w:rsidRPr="00E900BD">
              <w:rPr>
                <w:rFonts w:ascii="Times New Roman" w:hAnsi="Times New Roman" w:cs="Times New Roman"/>
                <w:sz w:val="28"/>
                <w:szCs w:val="28"/>
              </w:rPr>
              <w:t>III. Достатній</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8</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E900BD" w:rsidRPr="00E900BD" w:rsidTr="00A50D22">
        <w:tc>
          <w:tcPr>
            <w:tcW w:w="1860" w:type="dxa"/>
            <w:vMerge w:val="restart"/>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p w:rsidR="00E900BD" w:rsidRPr="00E900BD" w:rsidRDefault="00E900BD" w:rsidP="00E900BD">
            <w:pPr>
              <w:jc w:val="both"/>
              <w:rPr>
                <w:rFonts w:ascii="Times New Roman" w:hAnsi="Times New Roman" w:cs="Times New Roman"/>
                <w:sz w:val="28"/>
                <w:szCs w:val="28"/>
              </w:rPr>
            </w:pPr>
            <w:r w:rsidRPr="00E900BD">
              <w:rPr>
                <w:rFonts w:ascii="Times New Roman" w:hAnsi="Times New Roman" w:cs="Times New Roman"/>
                <w:sz w:val="28"/>
                <w:szCs w:val="28"/>
              </w:rPr>
              <w:t>IV. Високий</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9</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10</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має повні, глибокі знання, здатний(а)  використовувати їх у практичній діяльності, робити висновки, узагальнення</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E900BD" w:rsidRPr="00E900BD" w:rsidTr="00A50D22">
        <w:tc>
          <w:tcPr>
            <w:tcW w:w="1860" w:type="dxa"/>
            <w:vMerge/>
            <w:tcBorders>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150" w:type="dxa"/>
            </w:tcMar>
            <w:vAlign w:val="center"/>
            <w:hideMark/>
          </w:tcPr>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 xml:space="preserve">Видами оцінювання навчальних досягнень учнів є </w:t>
      </w:r>
      <w:r w:rsidRPr="00A50D22">
        <w:rPr>
          <w:rFonts w:ascii="Times New Roman" w:hAnsi="Times New Roman" w:cs="Times New Roman"/>
          <w:b/>
          <w:sz w:val="28"/>
          <w:szCs w:val="28"/>
        </w:rPr>
        <w:t>поточне, тематичне, семестрове, річне оцінювання та державна підсумкова атестація.</w:t>
      </w:r>
    </w:p>
    <w:p w:rsidR="00E900BD" w:rsidRPr="00E900BD" w:rsidRDefault="00E900BD" w:rsidP="00E900BD">
      <w:pPr>
        <w:ind w:firstLine="709"/>
        <w:jc w:val="both"/>
        <w:rPr>
          <w:rFonts w:ascii="Times New Roman" w:hAnsi="Times New Roman" w:cs="Times New Roman"/>
          <w:sz w:val="28"/>
          <w:szCs w:val="28"/>
        </w:rPr>
      </w:pPr>
      <w:r w:rsidRPr="00A50D22">
        <w:rPr>
          <w:rFonts w:ascii="Times New Roman" w:hAnsi="Times New Roman" w:cs="Times New Roman"/>
          <w:b/>
          <w:sz w:val="28"/>
          <w:szCs w:val="28"/>
        </w:rPr>
        <w:t>Поточне оцінювання</w:t>
      </w:r>
      <w:r w:rsidRPr="00E900BD">
        <w:rPr>
          <w:rFonts w:ascii="Times New Roman" w:hAnsi="Times New Roman" w:cs="Times New Roman"/>
          <w:sz w:val="28"/>
          <w:szCs w:val="28"/>
        </w:rPr>
        <w:t> </w:t>
      </w:r>
      <w:r w:rsidRPr="00E900BD">
        <w:rPr>
          <w:rFonts w:ascii="Times New Roman" w:hAnsi="Times New Roman" w:cs="Times New Roman"/>
          <w:sz w:val="28"/>
          <w:szCs w:val="28"/>
        </w:rPr>
        <w:noBreakHyphen/>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E900BD" w:rsidRPr="00E900BD" w:rsidRDefault="00E900BD" w:rsidP="00E900BD">
      <w:pPr>
        <w:ind w:firstLine="709"/>
        <w:jc w:val="both"/>
        <w:rPr>
          <w:rFonts w:ascii="Times New Roman" w:hAnsi="Times New Roman" w:cs="Times New Roman"/>
          <w:sz w:val="28"/>
          <w:szCs w:val="28"/>
        </w:rPr>
      </w:pPr>
      <w:r w:rsidRPr="00741DA7">
        <w:rPr>
          <w:rFonts w:ascii="Times New Roman" w:hAnsi="Times New Roman" w:cs="Times New Roman"/>
          <w:b/>
          <w:sz w:val="28"/>
          <w:szCs w:val="28"/>
        </w:rPr>
        <w:t>Об'єктом поточного оцінювання</w:t>
      </w:r>
      <w:r w:rsidRPr="00E900BD">
        <w:rPr>
          <w:rFonts w:ascii="Times New Roman" w:hAnsi="Times New Roman" w:cs="Times New Roman"/>
          <w:sz w:val="28"/>
          <w:szCs w:val="28"/>
        </w:rPr>
        <w:t xml:space="preserve"> рівня навчальних досягнень учнів є знання, вміння та навички, самостійність оцінних суджень, досвід творчої діяльності та </w:t>
      </w:r>
      <w:proofErr w:type="spellStart"/>
      <w:r w:rsidRPr="00E900BD">
        <w:rPr>
          <w:rFonts w:ascii="Times New Roman" w:hAnsi="Times New Roman" w:cs="Times New Roman"/>
          <w:sz w:val="28"/>
          <w:szCs w:val="28"/>
        </w:rPr>
        <w:t>емоційно</w:t>
      </w:r>
      <w:proofErr w:type="spellEnd"/>
      <w:r w:rsidRPr="00E900BD">
        <w:rPr>
          <w:rFonts w:ascii="Times New Roman" w:hAnsi="Times New Roman" w:cs="Times New Roman"/>
          <w:sz w:val="28"/>
          <w:szCs w:val="28"/>
        </w:rPr>
        <w:t>-ціннісного ставлення до навколишньої дійсності.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E900BD">
        <w:rPr>
          <w:rFonts w:ascii="Times New Roman" w:hAnsi="Times New Roman" w:cs="Times New Roman"/>
          <w:sz w:val="28"/>
          <w:szCs w:val="28"/>
        </w:rPr>
        <w:t>зв'язків</w:t>
      </w:r>
      <w:proofErr w:type="spellEnd"/>
      <w:r w:rsidRPr="00E900BD">
        <w:rPr>
          <w:rFonts w:ascii="Times New Roman" w:hAnsi="Times New Roman" w:cs="Times New Roman"/>
          <w:sz w:val="28"/>
          <w:szCs w:val="28"/>
        </w:rPr>
        <w:t xml:space="preserve"> між ними та засвоєним змістом попередніх тем, закріплення знань, умінь і навичок.</w:t>
      </w:r>
    </w:p>
    <w:p w:rsidR="00E900BD" w:rsidRPr="00E900BD" w:rsidRDefault="00E900BD" w:rsidP="00E900BD">
      <w:pPr>
        <w:ind w:firstLine="709"/>
        <w:jc w:val="both"/>
        <w:rPr>
          <w:rFonts w:ascii="Times New Roman" w:hAnsi="Times New Roman" w:cs="Times New Roman"/>
          <w:sz w:val="28"/>
          <w:szCs w:val="28"/>
        </w:rPr>
      </w:pPr>
      <w:r w:rsidRPr="00A50D22">
        <w:rPr>
          <w:rFonts w:ascii="Times New Roman" w:hAnsi="Times New Roman" w:cs="Times New Roman"/>
          <w:i/>
          <w:sz w:val="28"/>
          <w:szCs w:val="28"/>
        </w:rPr>
        <w:t>Формами поточного оцінювання</w:t>
      </w:r>
      <w:r w:rsidRPr="00E900BD">
        <w:rPr>
          <w:rFonts w:ascii="Times New Roman" w:hAnsi="Times New Roman" w:cs="Times New Roman"/>
          <w:sz w:val="28"/>
          <w:szCs w:val="28"/>
        </w:rPr>
        <w:t xml:space="preserve">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Інформація, отримана на підставі поточного контролю, є основною для коригування роботи вчителя на </w:t>
      </w:r>
      <w:proofErr w:type="spellStart"/>
      <w:r w:rsidRPr="00E900BD">
        <w:rPr>
          <w:rFonts w:ascii="Times New Roman" w:hAnsi="Times New Roman" w:cs="Times New Roman"/>
          <w:sz w:val="28"/>
          <w:szCs w:val="28"/>
        </w:rPr>
        <w:t>уроці</w:t>
      </w:r>
      <w:proofErr w:type="spellEnd"/>
      <w:r w:rsidRPr="00E900BD">
        <w:rPr>
          <w:rFonts w:ascii="Times New Roman" w:hAnsi="Times New Roman" w:cs="Times New Roman"/>
          <w:sz w:val="28"/>
          <w:szCs w:val="28"/>
        </w:rPr>
        <w:t>.</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Тематичному оцінюванню навчальних досягнень підлягають основні результати вивчення теми (розділу).</w:t>
      </w:r>
    </w:p>
    <w:p w:rsidR="00E900BD" w:rsidRPr="00A50D22" w:rsidRDefault="00E900BD" w:rsidP="00E900BD">
      <w:pPr>
        <w:ind w:firstLine="709"/>
        <w:jc w:val="both"/>
        <w:rPr>
          <w:rFonts w:ascii="Times New Roman" w:hAnsi="Times New Roman" w:cs="Times New Roman"/>
          <w:i/>
          <w:sz w:val="28"/>
          <w:szCs w:val="28"/>
        </w:rPr>
      </w:pPr>
      <w:r w:rsidRPr="00A50D22">
        <w:rPr>
          <w:rFonts w:ascii="Times New Roman" w:hAnsi="Times New Roman" w:cs="Times New Roman"/>
          <w:i/>
          <w:sz w:val="28"/>
          <w:szCs w:val="28"/>
        </w:rPr>
        <w:t>Тематичне оцінювання навчальних досягнень учнів забезпечує:</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усунення безсистемності в оцінюванні;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підвищення об'єктивності оцінки знань, навичок і вмінь;</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індивідуальний та диференційований підхід до організації навчання;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систематизацію й узагальнення навчального матеріалу;</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концентрацію уваги учнів до найсуттєвішого в системі знань з кожного предмета.</w:t>
      </w:r>
    </w:p>
    <w:p w:rsidR="00E900BD" w:rsidRPr="00E900BD" w:rsidRDefault="00E900BD" w:rsidP="00E900BD">
      <w:pPr>
        <w:ind w:firstLine="709"/>
        <w:jc w:val="both"/>
        <w:rPr>
          <w:rFonts w:ascii="Times New Roman" w:hAnsi="Times New Roman" w:cs="Times New Roman"/>
          <w:sz w:val="28"/>
          <w:szCs w:val="28"/>
        </w:rPr>
      </w:pPr>
      <w:r w:rsidRPr="00741DA7">
        <w:rPr>
          <w:rFonts w:ascii="Times New Roman" w:hAnsi="Times New Roman" w:cs="Times New Roman"/>
          <w:b/>
          <w:i/>
          <w:sz w:val="28"/>
          <w:szCs w:val="28"/>
        </w:rPr>
        <w:t>Тематична оцінка</w:t>
      </w:r>
      <w:r w:rsidRPr="00E900BD">
        <w:rPr>
          <w:rFonts w:ascii="Times New Roman" w:hAnsi="Times New Roman" w:cs="Times New Roman"/>
          <w:sz w:val="28"/>
          <w:szCs w:val="28"/>
        </w:rPr>
        <w:t>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Перед початком вивче</w:t>
      </w:r>
      <w:bookmarkStart w:id="0" w:name="_GoBack"/>
      <w:r w:rsidRPr="00E900BD">
        <w:rPr>
          <w:rFonts w:ascii="Times New Roman" w:hAnsi="Times New Roman" w:cs="Times New Roman"/>
          <w:sz w:val="28"/>
          <w:szCs w:val="28"/>
        </w:rPr>
        <w:t>н</w:t>
      </w:r>
      <w:bookmarkEnd w:id="0"/>
      <w:r w:rsidRPr="00E900BD">
        <w:rPr>
          <w:rFonts w:ascii="Times New Roman" w:hAnsi="Times New Roman" w:cs="Times New Roman"/>
          <w:sz w:val="28"/>
          <w:szCs w:val="28"/>
        </w:rPr>
        <w:t>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E900BD" w:rsidRPr="00E900BD" w:rsidRDefault="00E900BD" w:rsidP="00E900BD">
      <w:pPr>
        <w:ind w:firstLine="709"/>
        <w:jc w:val="both"/>
        <w:rPr>
          <w:rFonts w:ascii="Times New Roman" w:hAnsi="Times New Roman" w:cs="Times New Roman"/>
          <w:sz w:val="28"/>
          <w:szCs w:val="28"/>
        </w:rPr>
      </w:pPr>
      <w:r w:rsidRPr="00741DA7">
        <w:rPr>
          <w:rFonts w:ascii="Times New Roman" w:hAnsi="Times New Roman" w:cs="Times New Roman"/>
          <w:b/>
          <w:i/>
          <w:sz w:val="28"/>
          <w:szCs w:val="28"/>
        </w:rPr>
        <w:t>Оцінка за семестр </w:t>
      </w:r>
      <w:r w:rsidRPr="00E900BD">
        <w:rPr>
          <w:rFonts w:ascii="Times New Roman" w:hAnsi="Times New Roman" w:cs="Times New Roman"/>
          <w:sz w:val="28"/>
          <w:szCs w:val="28"/>
        </w:rPr>
        <w:t>виставляється за результатами тематичного оцінювання, а </w:t>
      </w:r>
      <w:r w:rsidRPr="00741DA7">
        <w:rPr>
          <w:rFonts w:ascii="Times New Roman" w:hAnsi="Times New Roman" w:cs="Times New Roman"/>
          <w:b/>
          <w:i/>
          <w:sz w:val="28"/>
          <w:szCs w:val="28"/>
        </w:rPr>
        <w:t>за рік </w:t>
      </w:r>
      <w:r w:rsidRPr="00E900BD">
        <w:rPr>
          <w:rFonts w:ascii="Times New Roman" w:hAnsi="Times New Roman" w:cs="Times New Roman"/>
          <w:sz w:val="28"/>
          <w:szCs w:val="28"/>
        </w:rPr>
        <w:noBreakHyphen/>
        <w:t xml:space="preserve"> на основі семестрових оцінок.</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 xml:space="preserve">Поряд з іншими формами оцінювання ефективною у старшій школі є рейтингова система, яка сприяє формуванню ключових </w:t>
      </w:r>
      <w:proofErr w:type="spellStart"/>
      <w:r w:rsidRPr="00E900BD">
        <w:rPr>
          <w:rFonts w:ascii="Times New Roman" w:hAnsi="Times New Roman" w:cs="Times New Roman"/>
          <w:sz w:val="28"/>
          <w:szCs w:val="28"/>
        </w:rPr>
        <w:t>компетентностей</w:t>
      </w:r>
      <w:proofErr w:type="spellEnd"/>
      <w:r w:rsidRPr="00E900BD">
        <w:rPr>
          <w:rFonts w:ascii="Times New Roman" w:hAnsi="Times New Roman" w:cs="Times New Roman"/>
          <w:sz w:val="28"/>
          <w:szCs w:val="28"/>
        </w:rPr>
        <w:t xml:space="preserve"> і створює можливості для: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підвищення мотивації учнів до само навчання та само оцінювання;</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розширення можливості в індивідуальній підготовленості учнів на кожному етапі навчального процесу;</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підвищення об'єктивності оцінювання не лише протягом навчального року, а й за весь період навчання у старшій школі;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градації значущості балів, які отримують учні за виконання різних видів робіт (самостійна робота, підсумкова робота, творча робота, олімпіади, виставки, конкурси творчих робіт, науково-дослідні й художні проекти, діяльність в органах учнівського самоврядування, у соціально-корисних проектах тощо).</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Упровадження рейтингу навчальних досягнень передбачає побудову учнем (ученицею) індивідуальної освітньої програми, яка дозволить учителям і батькам учнів аналізувати їхній освітній поступ та його (її) досягнення, виявляти помилки, а також регулювати форми й види освітньої діяльності.</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З метою оцінювання індивідуальних досягнень учнів у до профільній та профільній школі може бути використаний метод оцінювання портфоліо.</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lastRenderedPageBreak/>
        <w:t>Основна суть портфоліо - «показати все, на що ти здібний(а)». Педагогічна ідея портфоліо передбачає зміщення акценту з незнання учнів на індивідуальні досягнення, їх активну участь у накопиченні різних видів робіт, які засвідчують рух в індивідуальному розвитку; інтеграцію кількісних і якісних оцінок; підвищення ролі самооцінки.</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Таке оцінювання передбачає певну підготовку: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E900BD" w:rsidRPr="00E900BD" w:rsidRDefault="00E900BD" w:rsidP="00E900BD">
      <w:pPr>
        <w:ind w:firstLine="709"/>
        <w:jc w:val="both"/>
        <w:rPr>
          <w:rFonts w:ascii="Times New Roman" w:hAnsi="Times New Roman" w:cs="Times New Roman"/>
          <w:sz w:val="28"/>
          <w:szCs w:val="28"/>
        </w:rPr>
      </w:pPr>
      <w:r w:rsidRPr="00E900BD">
        <w:rPr>
          <w:rFonts w:ascii="Times New Roman" w:hAnsi="Times New Roman" w:cs="Times New Roman"/>
          <w:sz w:val="28"/>
          <w:szCs w:val="28"/>
        </w:rPr>
        <w:t>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 досягнення учня (учениці) не тільки з нормою, а з його (її) попередніми невдачами чи успіхами.</w:t>
      </w:r>
    </w:p>
    <w:p w:rsidR="00CD06C5" w:rsidRPr="00E900BD" w:rsidRDefault="00CD06C5" w:rsidP="00E900BD">
      <w:pPr>
        <w:ind w:firstLine="709"/>
        <w:jc w:val="both"/>
        <w:rPr>
          <w:rFonts w:ascii="Times New Roman" w:hAnsi="Times New Roman" w:cs="Times New Roman"/>
          <w:sz w:val="28"/>
          <w:szCs w:val="28"/>
        </w:rPr>
      </w:pPr>
    </w:p>
    <w:sectPr w:rsidR="00CD06C5" w:rsidRPr="00E900BD" w:rsidSect="00E900BD">
      <w:type w:val="continuous"/>
      <w:pgSz w:w="11906" w:h="16838" w:code="9"/>
      <w:pgMar w:top="850" w:right="850" w:bottom="85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5CA"/>
    <w:multiLevelType w:val="multilevel"/>
    <w:tmpl w:val="91E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B1695"/>
    <w:multiLevelType w:val="multilevel"/>
    <w:tmpl w:val="1A6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0BEF"/>
    <w:multiLevelType w:val="multilevel"/>
    <w:tmpl w:val="068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C47ED"/>
    <w:multiLevelType w:val="multilevel"/>
    <w:tmpl w:val="397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BD"/>
    <w:rsid w:val="00741DA7"/>
    <w:rsid w:val="00750498"/>
    <w:rsid w:val="00A50D22"/>
    <w:rsid w:val="00CD06C5"/>
    <w:rsid w:val="00E90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0BD"/>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E900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900BD"/>
    <w:rPr>
      <w:b/>
      <w:bCs/>
    </w:rPr>
  </w:style>
  <w:style w:type="character" w:styleId="a5">
    <w:name w:val="Emphasis"/>
    <w:basedOn w:val="a0"/>
    <w:uiPriority w:val="20"/>
    <w:qFormat/>
    <w:rsid w:val="00E900BD"/>
    <w:rPr>
      <w:i/>
      <w:iCs/>
    </w:rPr>
  </w:style>
  <w:style w:type="paragraph" w:styleId="a6">
    <w:name w:val="Balloon Text"/>
    <w:basedOn w:val="a"/>
    <w:link w:val="a7"/>
    <w:uiPriority w:val="99"/>
    <w:semiHidden/>
    <w:unhideWhenUsed/>
    <w:rsid w:val="00E90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0BD"/>
    <w:rPr>
      <w:rFonts w:ascii="Tahoma" w:hAnsi="Tahoma" w:cs="Tahoma"/>
      <w:sz w:val="16"/>
      <w:szCs w:val="16"/>
    </w:rPr>
  </w:style>
  <w:style w:type="paragraph" w:styleId="a8">
    <w:name w:val="No Spacing"/>
    <w:uiPriority w:val="1"/>
    <w:qFormat/>
    <w:rsid w:val="00E900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0BD"/>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E900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900BD"/>
    <w:rPr>
      <w:b/>
      <w:bCs/>
    </w:rPr>
  </w:style>
  <w:style w:type="character" w:styleId="a5">
    <w:name w:val="Emphasis"/>
    <w:basedOn w:val="a0"/>
    <w:uiPriority w:val="20"/>
    <w:qFormat/>
    <w:rsid w:val="00E900BD"/>
    <w:rPr>
      <w:i/>
      <w:iCs/>
    </w:rPr>
  </w:style>
  <w:style w:type="paragraph" w:styleId="a6">
    <w:name w:val="Balloon Text"/>
    <w:basedOn w:val="a"/>
    <w:link w:val="a7"/>
    <w:uiPriority w:val="99"/>
    <w:semiHidden/>
    <w:unhideWhenUsed/>
    <w:rsid w:val="00E90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0BD"/>
    <w:rPr>
      <w:rFonts w:ascii="Tahoma" w:hAnsi="Tahoma" w:cs="Tahoma"/>
      <w:sz w:val="16"/>
      <w:szCs w:val="16"/>
    </w:rPr>
  </w:style>
  <w:style w:type="paragraph" w:styleId="a8">
    <w:name w:val="No Spacing"/>
    <w:uiPriority w:val="1"/>
    <w:qFormat/>
    <w:rsid w:val="00E90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19592">
      <w:bodyDiv w:val="1"/>
      <w:marLeft w:val="0"/>
      <w:marRight w:val="0"/>
      <w:marTop w:val="0"/>
      <w:marBottom w:val="0"/>
      <w:divBdr>
        <w:top w:val="none" w:sz="0" w:space="0" w:color="auto"/>
        <w:left w:val="none" w:sz="0" w:space="0" w:color="auto"/>
        <w:bottom w:val="none" w:sz="0" w:space="0" w:color="auto"/>
        <w:right w:val="none" w:sz="0" w:space="0" w:color="auto"/>
      </w:divBdr>
      <w:divsChild>
        <w:div w:id="1891570424">
          <w:marLeft w:val="0"/>
          <w:marRight w:val="0"/>
          <w:marTop w:val="0"/>
          <w:marBottom w:val="375"/>
          <w:divBdr>
            <w:top w:val="none" w:sz="0" w:space="0" w:color="auto"/>
            <w:left w:val="none" w:sz="0" w:space="0" w:color="auto"/>
            <w:bottom w:val="single" w:sz="6" w:space="0" w:color="000000"/>
            <w:right w:val="none" w:sz="0" w:space="0" w:color="auto"/>
          </w:divBdr>
          <w:divsChild>
            <w:div w:id="996227169">
              <w:marLeft w:val="0"/>
              <w:marRight w:val="0"/>
              <w:marTop w:val="0"/>
              <w:marBottom w:val="0"/>
              <w:divBdr>
                <w:top w:val="none" w:sz="0" w:space="0" w:color="auto"/>
                <w:left w:val="none" w:sz="0" w:space="0" w:color="auto"/>
                <w:bottom w:val="none" w:sz="0" w:space="0" w:color="auto"/>
                <w:right w:val="none" w:sz="0" w:space="0" w:color="auto"/>
              </w:divBdr>
            </w:div>
          </w:divsChild>
        </w:div>
        <w:div w:id="2069381401">
          <w:marLeft w:val="0"/>
          <w:marRight w:val="0"/>
          <w:marTop w:val="0"/>
          <w:marBottom w:val="0"/>
          <w:divBdr>
            <w:top w:val="none" w:sz="0" w:space="0" w:color="auto"/>
            <w:left w:val="none" w:sz="0" w:space="0" w:color="auto"/>
            <w:bottom w:val="none" w:sz="0" w:space="0" w:color="auto"/>
            <w:right w:val="none" w:sz="0" w:space="0" w:color="auto"/>
          </w:divBdr>
          <w:divsChild>
            <w:div w:id="258223147">
              <w:marLeft w:val="0"/>
              <w:marRight w:val="0"/>
              <w:marTop w:val="0"/>
              <w:marBottom w:val="0"/>
              <w:divBdr>
                <w:top w:val="none" w:sz="0" w:space="0" w:color="auto"/>
                <w:left w:val="none" w:sz="0" w:space="0" w:color="auto"/>
                <w:bottom w:val="none" w:sz="0" w:space="0" w:color="auto"/>
                <w:right w:val="none" w:sz="0" w:space="0" w:color="auto"/>
              </w:divBdr>
              <w:divsChild>
                <w:div w:id="306126954">
                  <w:marLeft w:val="0"/>
                  <w:marRight w:val="0"/>
                  <w:marTop w:val="0"/>
                  <w:marBottom w:val="0"/>
                  <w:divBdr>
                    <w:top w:val="none" w:sz="0" w:space="0" w:color="auto"/>
                    <w:left w:val="none" w:sz="0" w:space="0" w:color="auto"/>
                    <w:bottom w:val="none" w:sz="0" w:space="0" w:color="auto"/>
                    <w:right w:val="none" w:sz="0" w:space="0" w:color="auto"/>
                  </w:divBdr>
                  <w:divsChild>
                    <w:div w:id="13152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11029</Words>
  <Characters>6288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Христя</dc:creator>
  <cp:lastModifiedBy>Христя</cp:lastModifiedBy>
  <cp:revision>1</cp:revision>
  <dcterms:created xsi:type="dcterms:W3CDTF">2020-02-07T09:58:00Z</dcterms:created>
  <dcterms:modified xsi:type="dcterms:W3CDTF">2020-02-07T10:21:00Z</dcterms:modified>
</cp:coreProperties>
</file>