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47A" w:rsidRDefault="006C547A" w:rsidP="006C547A">
      <w:pPr>
        <w:widowControl w:val="0"/>
        <w:autoSpaceDE w:val="0"/>
        <w:autoSpaceDN w:val="0"/>
        <w:spacing w:before="240" w:after="60" w:line="240" w:lineRule="auto"/>
        <w:ind w:right="200"/>
        <w:outlineLvl w:val="6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3.75pt;margin-top:16.9pt;width:38.45pt;height:45pt;z-index:251659264" fillcolor="window">
            <v:imagedata r:id="rId6" o:title=""/>
            <w10:wrap type="square" side="right"/>
          </v:shape>
          <o:OLEObject Type="Embed" ProgID="Word.Picture.8" ShapeID="_x0000_s1026" DrawAspect="Content" ObjectID="_1818323940" r:id="rId7"/>
        </w:pict>
      </w:r>
    </w:p>
    <w:p w:rsidR="006C547A" w:rsidRDefault="006C547A" w:rsidP="006C547A">
      <w:pPr>
        <w:widowControl w:val="0"/>
        <w:autoSpaceDE w:val="0"/>
        <w:autoSpaceDN w:val="0"/>
        <w:spacing w:before="240" w:after="60" w:line="240" w:lineRule="auto"/>
        <w:ind w:right="200"/>
        <w:outlineLvl w:val="6"/>
        <w:rPr>
          <w:rFonts w:ascii="Times New Roman" w:eastAsia="Times New Roman" w:hAnsi="Times New Roman" w:cs="Times New Roman"/>
          <w:bCs/>
          <w:sz w:val="16"/>
          <w:szCs w:val="24"/>
          <w:lang w:val="uk-UA" w:eastAsia="ru-RU"/>
        </w:rPr>
      </w:pPr>
    </w:p>
    <w:p w:rsidR="006C547A" w:rsidRDefault="006C547A" w:rsidP="006C547A">
      <w:pPr>
        <w:widowControl w:val="0"/>
        <w:tabs>
          <w:tab w:val="left" w:pos="4488"/>
        </w:tabs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C547A" w:rsidRDefault="006C547A" w:rsidP="006C547A">
      <w:pPr>
        <w:widowControl w:val="0"/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ВІДДІЛ ОСВІТИ, КУЛЬТУРИ І СПОРТУ</w:t>
      </w:r>
    </w:p>
    <w:p w:rsidR="006C547A" w:rsidRDefault="006C547A" w:rsidP="006C547A">
      <w:pPr>
        <w:widowControl w:val="0"/>
        <w:shd w:val="clear" w:color="auto" w:fill="FFFFFF"/>
        <w:tabs>
          <w:tab w:val="left" w:leader="underscore" w:pos="494"/>
        </w:tabs>
        <w:spacing w:after="0" w:line="240" w:lineRule="auto"/>
        <w:ind w:left="14" w:right="200" w:firstLine="5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ДЖУЛИНСЬКОЇ СІЛЬСЬКОЇ РАДИ </w:t>
      </w:r>
    </w:p>
    <w:p w:rsidR="006C547A" w:rsidRDefault="006C547A" w:rsidP="006C547A">
      <w:pPr>
        <w:widowControl w:val="0"/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КОМУНАЛЬНИЙ ЗАКЛАД </w:t>
      </w:r>
    </w:p>
    <w:p w:rsidR="006C547A" w:rsidRDefault="006C547A" w:rsidP="006C547A">
      <w:pPr>
        <w:widowControl w:val="0"/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«ДЖУЛИНСЬКИЙ НАВЧАЛЬНО-РЕАБІЛІТАЦІЙНИЙ ЦЕНТР»</w:t>
      </w:r>
    </w:p>
    <w:p w:rsidR="006C547A" w:rsidRDefault="006C547A" w:rsidP="006C547A">
      <w:pPr>
        <w:widowControl w:val="0"/>
        <w:spacing w:after="0" w:line="240" w:lineRule="auto"/>
        <w:ind w:left="708" w:right="200" w:firstLine="500"/>
        <w:jc w:val="center"/>
        <w:rPr>
          <w:rFonts w:ascii="Arial" w:eastAsia="Times New Roman" w:hAnsi="Arial" w:cs="Arial"/>
          <w:sz w:val="16"/>
          <w:szCs w:val="16"/>
          <w:lang w:val="uk-UA" w:eastAsia="ru-RU"/>
        </w:rPr>
      </w:pPr>
      <w:r>
        <w:rPr>
          <w:rFonts w:ascii="Arial" w:eastAsia="Times New Roman" w:hAnsi="Arial" w:cs="Arial"/>
          <w:sz w:val="16"/>
          <w:szCs w:val="16"/>
          <w:lang w:val="uk-UA" w:eastAsia="ru-RU"/>
        </w:rPr>
        <w:tab/>
        <w:t xml:space="preserve">        </w:t>
      </w:r>
    </w:p>
    <w:p w:rsidR="006C547A" w:rsidRDefault="006C547A" w:rsidP="006C547A">
      <w:pPr>
        <w:widowControl w:val="0"/>
        <w:spacing w:after="0" w:line="240" w:lineRule="auto"/>
        <w:ind w:left="120" w:right="200" w:firstLine="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НАКАЗ</w:t>
      </w:r>
    </w:p>
    <w:p w:rsidR="006C547A" w:rsidRDefault="006C547A" w:rsidP="006C547A">
      <w:pPr>
        <w:widowControl w:val="0"/>
        <w:spacing w:after="0" w:line="240" w:lineRule="auto"/>
        <w:ind w:right="200"/>
        <w:jc w:val="center"/>
        <w:rPr>
          <w:rFonts w:ascii="Arial" w:eastAsia="Times New Roman" w:hAnsi="Arial" w:cs="Arial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29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.08.202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5</w:t>
      </w:r>
      <w:r>
        <w:rPr>
          <w:rFonts w:ascii="Arial" w:eastAsia="Times New Roman" w:hAnsi="Arial" w:cs="Arial"/>
          <w:b/>
          <w:sz w:val="26"/>
          <w:szCs w:val="26"/>
          <w:lang w:val="uk-UA" w:eastAsia="ru-RU"/>
        </w:rPr>
        <w:tab/>
      </w:r>
      <w:r>
        <w:rPr>
          <w:rFonts w:ascii="Arial" w:eastAsia="Times New Roman" w:hAnsi="Arial" w:cs="Arial"/>
          <w:b/>
          <w:sz w:val="26"/>
          <w:szCs w:val="26"/>
          <w:lang w:val="uk-UA" w:eastAsia="ru-RU"/>
        </w:rPr>
        <w:tab/>
        <w:t xml:space="preserve">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с.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Джулинка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uk-UA"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№ ____</w:t>
      </w:r>
    </w:p>
    <w:p w:rsidR="006C547A" w:rsidRDefault="006C547A" w:rsidP="006C54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</w:p>
    <w:p w:rsidR="006C547A" w:rsidRDefault="006C547A" w:rsidP="006C5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організацію роботи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 щодо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 протидії</w:t>
      </w:r>
    </w:p>
    <w:p w:rsidR="006C547A" w:rsidRDefault="006C547A" w:rsidP="006C5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булінгу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 (цькуванню) в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Джулинському</w:t>
      </w:r>
      <w:proofErr w:type="spellEnd"/>
    </w:p>
    <w:p w:rsidR="006C547A" w:rsidRDefault="006C547A" w:rsidP="006C5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навчально-реабілітаційному центрі</w:t>
      </w:r>
    </w:p>
    <w:p w:rsidR="006C547A" w:rsidRDefault="006C547A" w:rsidP="006C5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в 202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/202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 навчальному році</w:t>
      </w:r>
    </w:p>
    <w:p w:rsidR="006C547A" w:rsidRDefault="006C547A" w:rsidP="006C5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C547A" w:rsidRDefault="006C547A" w:rsidP="006C54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На виконання наказу Міністерства освіти і науки України від 28.12.2019 року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№1646 «Деякі питання реагування на випадки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булінгу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(цькування) та застосування заходів виховного впливу в закладах освіти», зареєстрованого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Міністерстві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юстиції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України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03.02.2020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за № 111/34394,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наказу Міністерства освіти і науки від 26.02.2020 року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293 «Про затвердження плану заходів, спрямованих на запобігання та протидію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булінгу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(цькуванню) в закладах освіти», листа Міністерства освіти і науки від 20.03.2020 року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№6/480-20 «Про план заходів, спрямованих на запобігання та протидію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булінгу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(цькуванню)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закладах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з метою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заклад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насильства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цькування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                                 </w:t>
      </w:r>
    </w:p>
    <w:p w:rsidR="006C547A" w:rsidRDefault="006C547A" w:rsidP="006C54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НАКАЗУЮ:</w:t>
      </w:r>
    </w:p>
    <w:p w:rsidR="006C547A" w:rsidRDefault="006C547A" w:rsidP="006C54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протидію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цькуванню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547A" w:rsidRDefault="006C547A" w:rsidP="006C54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абезпечити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547A" w:rsidRPr="006C547A" w:rsidRDefault="006C547A" w:rsidP="006C54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3.Відповідальному за ведення сайту Козак О.В.:</w:t>
      </w:r>
    </w:p>
    <w:p w:rsidR="006C547A" w:rsidRDefault="006C547A" w:rsidP="006C54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поновити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розділ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Протидія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цькування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)»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547A" w:rsidRDefault="006C547A" w:rsidP="006C54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Порядок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цькування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та 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реагування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доведені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547A" w:rsidRDefault="006C547A" w:rsidP="006C5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    Контроль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залишаю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собою.</w:t>
      </w:r>
    </w:p>
    <w:p w:rsidR="006C547A" w:rsidRDefault="006C547A" w:rsidP="006C54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C547A" w:rsidRDefault="006C547A" w:rsidP="006C54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547A" w:rsidRDefault="006C547A" w:rsidP="006C54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547A" w:rsidRDefault="006C547A" w:rsidP="006C54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Директор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Володимир МЕЛЬНИК</w:t>
      </w:r>
    </w:p>
    <w:p w:rsidR="006C547A" w:rsidRDefault="006C547A" w:rsidP="006C5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                                       </w:t>
      </w:r>
    </w:p>
    <w:p w:rsidR="006C547A" w:rsidRDefault="006C547A" w:rsidP="006C5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                                         </w:t>
      </w:r>
    </w:p>
    <w:p w:rsidR="006C547A" w:rsidRDefault="006C547A" w:rsidP="006C5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C547A" w:rsidRDefault="006C547A" w:rsidP="006C5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C547A" w:rsidRDefault="006C547A" w:rsidP="006C5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ЗАТВЕРДЖЕНО</w:t>
      </w:r>
    </w:p>
    <w:p w:rsidR="006C547A" w:rsidRDefault="006C547A" w:rsidP="006C5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                                             наказ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Джулинського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6C547A" w:rsidRDefault="006C547A" w:rsidP="006C5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                                             навчально-реабілітаційного</w:t>
      </w:r>
    </w:p>
    <w:p w:rsidR="006C547A" w:rsidRDefault="006C547A" w:rsidP="006C5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                                             центру</w:t>
      </w:r>
    </w:p>
    <w:p w:rsidR="006C547A" w:rsidRDefault="006C547A" w:rsidP="006C5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від 29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.08.202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№____</w:t>
      </w:r>
    </w:p>
    <w:p w:rsidR="006C547A" w:rsidRDefault="006C547A" w:rsidP="006C5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547A" w:rsidRDefault="006C547A" w:rsidP="006C54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заходів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спрямованих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протидію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бул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інгу</w:t>
      </w:r>
      <w:proofErr w:type="spellEnd"/>
    </w:p>
    <w:p w:rsidR="006C547A" w:rsidRDefault="006C547A" w:rsidP="006C54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/202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навчальному році</w:t>
      </w:r>
    </w:p>
    <w:p w:rsidR="006C547A" w:rsidRDefault="006C547A" w:rsidP="006C54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0320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6044"/>
        <w:gridCol w:w="1561"/>
        <w:gridCol w:w="1951"/>
      </w:tblGrid>
      <w:tr w:rsidR="006C547A" w:rsidTr="006C547A"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№з/п</w:t>
            </w:r>
          </w:p>
        </w:tc>
        <w:tc>
          <w:tcPr>
            <w:tcW w:w="6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Назва заходу</w:t>
            </w:r>
          </w:p>
          <w:p w:rsidR="006C547A" w:rsidRDefault="006C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Термін виконання</w:t>
            </w:r>
          </w:p>
        </w:tc>
        <w:tc>
          <w:tcPr>
            <w:tcW w:w="1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Відповідальні</w:t>
            </w:r>
          </w:p>
        </w:tc>
      </w:tr>
      <w:tr w:rsidR="006C547A" w:rsidTr="006C547A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Опрацювати нормативно-правові документи щодо профілактики негативних проявів в учнівському середовищі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Серпень, вересень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Адміністрація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педагогічні працівники</w:t>
            </w:r>
          </w:p>
        </w:tc>
      </w:tr>
      <w:tr w:rsidR="006C547A" w:rsidTr="006C547A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Проводити профілактично-просвітницькі заходи з профілактики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(цькуванню), жорстокої та протиправної поведінки, конфліктів в учнівських та педагогічних колективах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Протягом року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Класні керівники</w:t>
            </w:r>
          </w:p>
          <w:p w:rsidR="006C547A" w:rsidRDefault="006C547A" w:rsidP="006C5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класів, практичний психолог</w:t>
            </w:r>
          </w:p>
        </w:tc>
      </w:tr>
      <w:tr w:rsidR="006C547A" w:rsidTr="006C547A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Брати участь педагогічним працівникам у семінарах, нарадах щодо протидії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булінгу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Постійно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Педагогічні працівники</w:t>
            </w:r>
          </w:p>
        </w:tc>
      </w:tr>
      <w:tr w:rsidR="006C547A" w:rsidTr="006C547A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Провести Всеукраїнський тиждень з протидії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булінгу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Згідно наказу відділу освіти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практичний психолог, класні керівники, педагог-організатор</w:t>
            </w:r>
          </w:p>
        </w:tc>
      </w:tr>
      <w:tr w:rsidR="006C547A" w:rsidTr="006C547A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Проводити системну роботу практичному психологу з педагогами закладу освіти, батьками та учнями на тему «Школа дружня до дитини», нараду при директору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Булінг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Кібербулінг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Як його розпізнати?»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Протягом року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Директор, практичний психолог, педагогічний колектив</w:t>
            </w:r>
          </w:p>
        </w:tc>
      </w:tr>
      <w:tr w:rsidR="006C547A" w:rsidTr="006C547A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Співпрацювати з фахівцями служби у справах дітей, соціальної служби для сім'ї, дітей та молоді щодо профілактичної роботи з питань попередження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(цькуванню) та насильству в сім’ях згідно окремих спільних планів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Постійно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практичний психолог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</w:tr>
      <w:tr w:rsidR="006C547A" w:rsidTr="006C547A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Тематичні зустрічі здобувачів освіти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із  інспектор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ами з ювенальної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превенції 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жулинської ТГ з метою проведення просвітницької роботи щодо запобігання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(цькуванню) в учнівському середовищі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Постійно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практичний психолог</w:t>
            </w:r>
          </w:p>
        </w:tc>
      </w:tr>
      <w:tr w:rsidR="006C547A" w:rsidTr="006C547A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Ознайомити учнів, батьків з нормативними документами щодо організації освітнього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процесу в закладі освіти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Вересень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Директор, класні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 xml:space="preserve">керівники </w:t>
            </w:r>
          </w:p>
          <w:p w:rsidR="006C547A" w:rsidRDefault="006C547A" w:rsidP="006C5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класів</w:t>
            </w:r>
          </w:p>
        </w:tc>
      </w:tr>
      <w:tr w:rsidR="006C547A" w:rsidTr="006C547A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9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Розміщення та оновлення інформаційних матеріалів щодо профілактики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 на сайті закладу освіти та стендах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Вересень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Практичний психолог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</w:tr>
      <w:tr w:rsidR="006C547A" w:rsidTr="006C547A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Поновлення інформаційних куточків для учнів із переліком організацій, до яких можна звернутися у випадках насилля та правопорушень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До 02.09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Практичний психолог</w:t>
            </w:r>
          </w:p>
        </w:tc>
      </w:tr>
      <w:tr w:rsidR="006C547A" w:rsidTr="006C547A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Робота консультативного пункту «Скринька довіри»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Протягом року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Практичний психолог</w:t>
            </w:r>
          </w:p>
        </w:tc>
      </w:tr>
      <w:tr w:rsidR="006C547A" w:rsidTr="006C547A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Тренінгові заняття: «Давайте жити дружно! » та інші згідно планів психолога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Вересень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Практичний психолог</w:t>
            </w:r>
          </w:p>
        </w:tc>
      </w:tr>
      <w:tr w:rsidR="006C547A" w:rsidTr="006C547A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Опрацювати правила та обов’язки здобувачів освіти, батьків, правила користування мережею Інтернет,  щоб зменшити ризик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булінгу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Вересень, жовтень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класні керівники </w:t>
            </w:r>
          </w:p>
          <w:p w:rsidR="006C547A" w:rsidRDefault="006C547A" w:rsidP="006C5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класів</w:t>
            </w:r>
          </w:p>
        </w:tc>
      </w:tr>
      <w:tr w:rsidR="006C547A" w:rsidTr="006C547A">
        <w:trPr>
          <w:trHeight w:val="912"/>
        </w:trPr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14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Тренінгове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заняття «Конфлікт. Шляхи подолання конфліктів»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Жовтень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Практичний психолог, </w:t>
            </w:r>
          </w:p>
        </w:tc>
      </w:tr>
      <w:tr w:rsidR="006C547A" w:rsidTr="006C547A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Розміщення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сайті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інформації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«</w:t>
            </w:r>
            <w:hyperlink r:id="rId8" w:history="1">
              <w:r>
                <w:rPr>
                  <w:rStyle w:val="a3"/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none"/>
                  <w:lang w:val="uk-UA" w:eastAsia="uk-UA"/>
                </w:rPr>
                <w:t>Ді</w:t>
              </w:r>
              <w:proofErr w:type="spellEnd"/>
              <w:r>
                <w:rPr>
                  <w:rStyle w:val="a3"/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none"/>
                  <w:lang w:val="uk-UA" w:eastAsia="uk-UA"/>
                </w:rPr>
                <w:t>знайся про свої права в цифровому середовищі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» з рекомендаціями Ради Європи щодо поваги, захисту та здійснення прав дитини в цифровому середовищі для дітей та молоді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Жовтень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Практичний психолог, педагог-організатор</w:t>
            </w:r>
          </w:p>
        </w:tc>
      </w:tr>
      <w:tr w:rsidR="006C547A" w:rsidTr="006C547A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16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Заходи в рамках акції «16 днів проти насильства»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Згідно наказу відділу освіти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Практичний психолог, педагог-організатор, класні керівники </w:t>
            </w:r>
          </w:p>
          <w:p w:rsidR="006C547A" w:rsidRDefault="006C547A" w:rsidP="006C5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класів, вихователі</w:t>
            </w:r>
          </w:p>
        </w:tc>
      </w:tr>
      <w:tr w:rsidR="006C547A" w:rsidTr="006C547A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17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Рекомендації для класних керівників щодо профілактики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 класних колективах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Листопад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ЗДНВР, практичний психолог</w:t>
            </w:r>
          </w:p>
        </w:tc>
      </w:tr>
      <w:tr w:rsidR="006C547A" w:rsidTr="006C547A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18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Заняття з елементами тренінгу «Протидія виявам насильства в учнівському середовищі»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Грудень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Практичний психолог, </w:t>
            </w:r>
          </w:p>
        </w:tc>
      </w:tr>
      <w:tr w:rsidR="006C547A" w:rsidTr="006C547A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19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Година спілкування на тему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«Закон і ми»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Грудень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Класні керівники  </w:t>
            </w:r>
          </w:p>
          <w:p w:rsidR="006C547A" w:rsidRDefault="006C547A" w:rsidP="006C5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класів</w:t>
            </w:r>
          </w:p>
        </w:tc>
      </w:tr>
      <w:tr w:rsidR="006C547A" w:rsidTr="006C547A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Година спілкування на тему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«Культура спілкування в Інтернеті»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Лютий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Класні керівники  </w:t>
            </w:r>
          </w:p>
          <w:p w:rsidR="006C547A" w:rsidRDefault="006C547A" w:rsidP="006C5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класів</w:t>
            </w:r>
          </w:p>
        </w:tc>
      </w:tr>
      <w:tr w:rsidR="006C547A" w:rsidTr="006C547A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-UA" w:eastAsia="uk-UA"/>
              </w:rPr>
              <w:t>Година спілкування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-UA" w:eastAsia="uk-UA"/>
              </w:rPr>
              <w:t>на тему: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-UA" w:eastAsia="uk-UA"/>
              </w:rPr>
              <w:t>«Моя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-UA" w:eastAsia="uk-UA"/>
              </w:rPr>
              <w:t>поведінка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-UA" w:eastAsia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-UA" w:eastAsia="uk-UA"/>
              </w:rPr>
              <w:t>кон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-UA" w:eastAsia="uk-UA"/>
              </w:rPr>
              <w:t>флікті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-UA" w:eastAsia="uk-UA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-UA" w:eastAsia="uk-UA"/>
              </w:rPr>
              <w:t>небезпечній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-UA" w:eastAsia="uk-UA"/>
              </w:rPr>
              <w:t>ситуації»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Березень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Класні керівники  </w:t>
            </w:r>
          </w:p>
          <w:p w:rsidR="006C547A" w:rsidRDefault="006C547A" w:rsidP="006C5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класів</w:t>
            </w:r>
          </w:p>
        </w:tc>
      </w:tr>
      <w:tr w:rsidR="006C547A" w:rsidTr="006C547A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22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Ранкові зустрічі з метою формування навичок дружніх стосунків  здобувачів освіти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Упродовж року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 w:rsidP="006C5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Класні керівники 2-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класів</w:t>
            </w:r>
          </w:p>
        </w:tc>
      </w:tr>
      <w:tr w:rsidR="006C547A" w:rsidTr="006C547A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-UA" w:eastAsia="uk-UA"/>
              </w:rPr>
              <w:t xml:space="preserve">Індивідуальні консультації з батьками щодо профілактики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-UA" w:eastAsia="uk-UA"/>
              </w:rPr>
              <w:t>булінгу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Протягом року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практичний психолог, класні керівники  </w:t>
            </w:r>
          </w:p>
          <w:p w:rsidR="006C547A" w:rsidRDefault="006C5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2-10 класів</w:t>
            </w:r>
          </w:p>
        </w:tc>
      </w:tr>
      <w:tr w:rsidR="006C547A" w:rsidTr="006C547A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24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-UA" w:eastAsia="uk-UA"/>
              </w:rPr>
              <w:t xml:space="preserve">Моніторинг безпечності та комфортності закладу освіти та освітнього середовища шляхом опитування, анкетування та вжиття відповідних заходів реагування на виявленні випадки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-UA" w:eastAsia="uk-UA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-UA" w:eastAsia="uk-UA"/>
              </w:rPr>
              <w:t xml:space="preserve"> (цькуванню)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Травень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Директор, практичний психолог, педагог-організатор</w:t>
            </w:r>
          </w:p>
        </w:tc>
      </w:tr>
      <w:tr w:rsidR="006C547A" w:rsidTr="006C547A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Засідання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Ради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профілактики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правопорушень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 окремим планом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7A" w:rsidRDefault="006C5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Члени Ради</w:t>
            </w:r>
          </w:p>
        </w:tc>
      </w:tr>
    </w:tbl>
    <w:p w:rsidR="006C547A" w:rsidRDefault="006C547A" w:rsidP="006C547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F3F3F"/>
          <w:sz w:val="27"/>
          <w:szCs w:val="27"/>
          <w:lang w:val="uk-UA" w:eastAsia="uk-UA"/>
        </w:rPr>
      </w:pPr>
      <w:r>
        <w:rPr>
          <w:rFonts w:ascii="Helvetica" w:eastAsia="Times New Roman" w:hAnsi="Helvetica" w:cs="Helvetica"/>
          <w:color w:val="3F3F3F"/>
          <w:sz w:val="27"/>
          <w:szCs w:val="27"/>
          <w:lang w:val="uk-UA" w:eastAsia="uk-UA"/>
        </w:rPr>
        <w:t> </w:t>
      </w:r>
    </w:p>
    <w:p w:rsidR="006C547A" w:rsidRDefault="006C547A" w:rsidP="006C54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547A" w:rsidRDefault="006C547A" w:rsidP="006C54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C547A" w:rsidRDefault="006C547A" w:rsidP="006C54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C547A" w:rsidRDefault="006C547A" w:rsidP="006C54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C547A" w:rsidRDefault="006C547A" w:rsidP="006C54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C547A" w:rsidRDefault="006C547A" w:rsidP="006C54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C547A" w:rsidRDefault="006C547A" w:rsidP="006C54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C547A" w:rsidRDefault="006C547A" w:rsidP="006C54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C547A" w:rsidRDefault="006C547A" w:rsidP="006C54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C547A" w:rsidRDefault="006C547A" w:rsidP="006C54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C547A" w:rsidRDefault="006C547A" w:rsidP="006C54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C547A" w:rsidRDefault="006C547A" w:rsidP="006C54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C547A" w:rsidRDefault="006C547A" w:rsidP="006C54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C547A" w:rsidRDefault="006C547A" w:rsidP="006C54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C547A" w:rsidRDefault="006C547A" w:rsidP="006C54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C547A" w:rsidRDefault="006C547A" w:rsidP="006C54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C547A" w:rsidRDefault="006C547A" w:rsidP="006C54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C547A" w:rsidRDefault="006C547A" w:rsidP="006C54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C547A" w:rsidRDefault="006C547A" w:rsidP="006C54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C547A" w:rsidRDefault="006C547A" w:rsidP="006C54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C547A" w:rsidRDefault="006C547A" w:rsidP="006C5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ЗАТВЕРДЖЕНО</w:t>
      </w:r>
    </w:p>
    <w:p w:rsidR="006C547A" w:rsidRDefault="006C547A" w:rsidP="006C5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                                             наказ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Джулинського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6C547A" w:rsidRDefault="006C547A" w:rsidP="006C5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навчально-реабілітаціцйного</w:t>
      </w:r>
      <w:proofErr w:type="spellEnd"/>
    </w:p>
    <w:p w:rsidR="006C547A" w:rsidRDefault="006C547A" w:rsidP="006C5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                                             центру</w:t>
      </w:r>
    </w:p>
    <w:p w:rsidR="006C547A" w:rsidRDefault="006C547A" w:rsidP="006C54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від 29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.08.202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№____</w:t>
      </w:r>
    </w:p>
    <w:p w:rsidR="006C547A" w:rsidRDefault="006C547A" w:rsidP="006C54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547A" w:rsidRDefault="006C547A" w:rsidP="006C547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Порядок подання та розгляду заяв про випадки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булінгу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(цькування)                       в закладі освіти (з дотриманням конфіденційності)</w:t>
      </w:r>
    </w:p>
    <w:p w:rsidR="006C547A" w:rsidRDefault="006C547A" w:rsidP="006C547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C547A" w:rsidRDefault="006C547A" w:rsidP="006C547A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Підставою для реагування в закладах освіти на випадки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булінгу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(цькування) є заява або повідомлення, про випадок та/або підозру його вчинення стосовно малолітньої чи неповнолітньої особи та/або такою особою стосовно інших учасників освітнього процесу, отриманої суб'єктами реагування на випадки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булінгу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(цькування) в закладах освіти.</w:t>
      </w:r>
    </w:p>
    <w:p w:rsidR="006C547A" w:rsidRDefault="006C547A" w:rsidP="006C547A">
      <w:pPr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547A" w:rsidRDefault="006C547A" w:rsidP="006C547A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Повідомлення можуть бути в усній та/або письмовій формі, в тому числі із застосуванням засобів електронної комунікації (телефон, соціальні мережі, електронна пошта, електронні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месенджери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,офіційні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ресурси та ін.).</w:t>
      </w:r>
    </w:p>
    <w:p w:rsidR="006C547A" w:rsidRDefault="006C547A" w:rsidP="006C547A">
      <w:pPr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547A" w:rsidRDefault="006C547A" w:rsidP="006C547A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Повідомляти про випадки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булінгу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(цькування) в закладах освіти може будь-яка особа, учасником або стороною якого вона стала або яка підозрює про його вчинення стосовно малолітньої чи неповнолітньої особи та/або такою особою стосовно інших учасників освітнього процесу, або про який отримала достовірну інформацію.</w:t>
      </w:r>
    </w:p>
    <w:p w:rsidR="006C547A" w:rsidRDefault="006C547A" w:rsidP="006C547A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Повідомлення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цькування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підозру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його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вчинення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подаватися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 будь-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суб’єкта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реагування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визначеного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пункті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розділу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II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Порядку. </w:t>
      </w:r>
    </w:p>
    <w:p w:rsidR="006C547A" w:rsidRDefault="006C547A" w:rsidP="006C547A">
      <w:pPr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47A" w:rsidRDefault="006C547A" w:rsidP="006C547A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Повнолітні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учасники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освітнього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процесу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зобов'язані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вжити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невідкладного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реагування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звернення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та/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якщо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вони стали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ідками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булінгу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цькування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оцінити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життю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здоров'ю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сторін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булінгу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цькування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негайно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втрутитись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метою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припинення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небезпечного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впливу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надати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(за потреби)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невідкладну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медичну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психологічну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допомогу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звернутись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охорони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здоров'я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медичної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допомоги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</w:t>
      </w:r>
    </w:p>
    <w:p w:rsidR="006C547A" w:rsidRDefault="006C547A" w:rsidP="006C547A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C547A" w:rsidRDefault="006C547A" w:rsidP="006C547A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C547A" w:rsidRDefault="006C547A" w:rsidP="006C547A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3F3F3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уповноважену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особу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цькуванню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числа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547A" w:rsidRDefault="006C547A" w:rsidP="006C547A">
      <w:pPr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цькування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не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пізніше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однієї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доби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повідомляє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територіальний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орган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підрозділ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Національної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поліції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звернення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одного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малолітньої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неповнолітньої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особи</w:t>
      </w:r>
      <w:r>
        <w:rPr>
          <w:rFonts w:ascii="Times New Roman" w:eastAsia="Calibri" w:hAnsi="Times New Roman" w:cs="Times New Roman"/>
          <w:sz w:val="28"/>
          <w:szCs w:val="28"/>
        </w:rPr>
        <w:t xml:space="preserve">; для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невідкладного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психологічної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допомоги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(за потреби)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інформує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територіальний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орган (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ідрозділ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служби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 справах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та/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центр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соціальних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служб для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сім’ї</w:t>
      </w:r>
      <w:proofErr w:type="spellEnd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дітей</w:t>
      </w:r>
      <w:proofErr w:type="spellEnd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молоді</w:t>
      </w:r>
      <w:proofErr w:type="spellEnd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;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організації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медичної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допомоги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постраждалій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особі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(за потреби)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викликає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бригаду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екстреної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швидкої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медичної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допомоги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6C547A" w:rsidRDefault="006C547A" w:rsidP="006C547A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визначає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наказом склад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комісії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розгляду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випадків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бул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інгу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цькування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 з метою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розслідування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547A" w:rsidRDefault="006C547A" w:rsidP="006C547A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тимчасової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відсутності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уповноваженої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наказом особу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ідготовку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засідання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(шляхом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з’ясування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відеофіксацій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);</w:t>
      </w:r>
    </w:p>
    <w:p w:rsidR="006C547A" w:rsidRDefault="006C547A" w:rsidP="006C547A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особу,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звернулась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подальший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547A" w:rsidRDefault="006C547A" w:rsidP="006C547A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скликає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засідання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цькування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пізніше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ніж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дня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надходження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підозру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реагування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C547A" w:rsidRDefault="006C547A" w:rsidP="006C547A">
      <w:pPr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47A" w:rsidRDefault="006C547A" w:rsidP="006C547A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Діяльність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комісії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закладу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освіти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випадків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булінгу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цькування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6C547A" w:rsidRDefault="006C547A" w:rsidP="006C547A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47A" w:rsidRDefault="006C547A" w:rsidP="006C547A">
      <w:pPr>
        <w:numPr>
          <w:ilvl w:val="0"/>
          <w:numId w:val="1"/>
        </w:numPr>
        <w:tabs>
          <w:tab w:val="num" w:pos="0"/>
        </w:tabs>
        <w:spacing w:after="0" w:line="240" w:lineRule="auto"/>
        <w:ind w:left="284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цькування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колегіальним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органом закладу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скликається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кожному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надходження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цькування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пізніше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ніж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дня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надходження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повідомлення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547A" w:rsidRDefault="006C547A" w:rsidP="006C547A">
      <w:pPr>
        <w:tabs>
          <w:tab w:val="num" w:pos="0"/>
        </w:tabs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47A" w:rsidRDefault="006C547A" w:rsidP="006C547A">
      <w:pPr>
        <w:numPr>
          <w:ilvl w:val="0"/>
          <w:numId w:val="2"/>
        </w:numPr>
        <w:tabs>
          <w:tab w:val="num" w:pos="0"/>
        </w:tabs>
        <w:spacing w:after="0" w:line="240" w:lineRule="auto"/>
        <w:ind w:left="284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складу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уповноважена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особа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заінтересовані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науково-педагогічні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практичний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психолог,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медичний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працівник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інші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особи) за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ішенням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керівника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закладу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547A" w:rsidRDefault="006C547A" w:rsidP="006C547A">
      <w:pPr>
        <w:tabs>
          <w:tab w:val="num" w:pos="0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засіданні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цькування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(за потреби), один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малолітнього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неповнолітнього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кривдника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потерпілого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DFD"/>
          <w:lang w:eastAsia="ru-RU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DFD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DFD"/>
          <w:lang w:eastAsia="ru-RU"/>
        </w:rPr>
        <w:t>суб’єктів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DFD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DFD"/>
          <w:lang w:eastAsia="ru-RU"/>
        </w:rPr>
        <w:t>реагування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DFD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DFD"/>
          <w:lang w:eastAsia="ru-RU"/>
        </w:rPr>
        <w:t>випадки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DFD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DFD"/>
          <w:lang w:eastAsia="ru-RU"/>
        </w:rPr>
        <w:t>булінгу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DFD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DFD"/>
          <w:lang w:eastAsia="ru-RU"/>
        </w:rPr>
        <w:t>цькування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DFD"/>
          <w:lang w:eastAsia="ru-RU"/>
        </w:rPr>
        <w:t xml:space="preserve">) в закладах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DFD"/>
          <w:lang w:eastAsia="ru-RU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DFD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DFD"/>
          <w:lang w:eastAsia="ru-RU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DFD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DFD"/>
          <w:lang w:eastAsia="ru-RU"/>
        </w:rPr>
        <w:t>заінтересованих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DFD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DFD"/>
          <w:lang w:eastAsia="ru-RU"/>
        </w:rPr>
        <w:t>сторін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DFD"/>
          <w:lang w:eastAsia="ru-RU"/>
        </w:rPr>
        <w:t xml:space="preserve">. </w:t>
      </w:r>
    </w:p>
    <w:p w:rsidR="006C547A" w:rsidRDefault="006C547A" w:rsidP="006C547A">
      <w:pPr>
        <w:tabs>
          <w:tab w:val="num" w:pos="0"/>
        </w:tabs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47A" w:rsidRDefault="006C547A" w:rsidP="006C547A">
      <w:pPr>
        <w:tabs>
          <w:tab w:val="num" w:pos="0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своїх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засіданнях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розробляє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пропозиції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рекомендації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належать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компетенції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6C547A" w:rsidRDefault="006C547A" w:rsidP="006C547A">
      <w:pPr>
        <w:ind w:left="284" w:firstLine="567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6C547A" w:rsidRDefault="006C547A" w:rsidP="006C547A">
      <w:pPr>
        <w:tabs>
          <w:tab w:val="num" w:pos="0"/>
        </w:tabs>
        <w:spacing w:after="0" w:line="240" w:lineRule="auto"/>
        <w:ind w:left="284" w:firstLine="567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За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ідсумками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</w:t>
      </w:r>
      <w:r>
        <w:rPr>
          <w:rFonts w:ascii="Calibri" w:eastAsia="Times New Roman" w:hAnsi="Calibri" w:cs="Calibri"/>
          <w:sz w:val="28"/>
          <w:szCs w:val="28"/>
          <w:lang w:eastAsia="ru-RU"/>
        </w:rPr>
        <w:t>.</w:t>
      </w:r>
    </w:p>
    <w:p w:rsidR="006C547A" w:rsidRDefault="006C547A" w:rsidP="006C547A">
      <w:pPr>
        <w:tabs>
          <w:tab w:val="num" w:pos="0"/>
        </w:tabs>
        <w:spacing w:after="0" w:line="240" w:lineRule="auto"/>
        <w:ind w:left="284" w:firstLine="567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6C547A" w:rsidRDefault="006C547A" w:rsidP="006C547A">
      <w:pPr>
        <w:tabs>
          <w:tab w:val="num" w:pos="0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моніторинг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запланованих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клімату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цькування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протоколом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засідання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уповноважена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особа,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замінює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відсутності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наказу про склад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C547A" w:rsidRDefault="006C547A" w:rsidP="006C547A">
      <w:pPr>
        <w:tabs>
          <w:tab w:val="num" w:pos="0"/>
        </w:tabs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47A" w:rsidRDefault="006C547A" w:rsidP="006C547A">
      <w:pPr>
        <w:tabs>
          <w:tab w:val="num" w:pos="0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6C547A" w:rsidRDefault="006C547A" w:rsidP="006C547A">
      <w:pPr>
        <w:tabs>
          <w:tab w:val="num" w:pos="0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6C547A" w:rsidRDefault="006C547A" w:rsidP="006C547A">
      <w:pPr>
        <w:tabs>
          <w:tab w:val="num" w:pos="0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6.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повноважень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належать:</w:t>
      </w:r>
    </w:p>
    <w:p w:rsidR="006C547A" w:rsidRDefault="006C547A" w:rsidP="006C547A">
      <w:pPr>
        <w:tabs>
          <w:tab w:val="num" w:pos="0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розгляд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аналіз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матеріалів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 результатами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проведеного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розслідування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з'ясування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обставин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ідставі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булінг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цькування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6C547A" w:rsidRDefault="006C547A" w:rsidP="006C547A">
      <w:pPr>
        <w:tabs>
          <w:tab w:val="num" w:pos="0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цькування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усунення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547A" w:rsidRDefault="006C547A" w:rsidP="006C547A">
      <w:pPr>
        <w:tabs>
          <w:tab w:val="num" w:pos="0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стабілізації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клімату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емпатії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сторонами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цькування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психолого-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цькування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 тому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фахівців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547A" w:rsidRDefault="006C547A" w:rsidP="006C547A">
      <w:pPr>
        <w:tabs>
          <w:tab w:val="num" w:pos="0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науково-педагогічних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доц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малолітніми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неповнолітніми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цькування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їхніми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батьками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C547A" w:rsidRDefault="006C547A" w:rsidP="006C547A">
      <w:pPr>
        <w:tabs>
          <w:tab w:val="num" w:pos="0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малолітньої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неповнолітньої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особи, яка стала стороною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цькування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C547A" w:rsidRDefault="006C547A" w:rsidP="006C547A">
      <w:pPr>
        <w:tabs>
          <w:tab w:val="num" w:pos="0"/>
        </w:tabs>
        <w:spacing w:after="0" w:line="240" w:lineRule="auto"/>
        <w:ind w:left="284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47A" w:rsidRDefault="006C547A" w:rsidP="006C547A"/>
    <w:p w:rsidR="006C547A" w:rsidRDefault="006C547A" w:rsidP="006C547A">
      <w:pPr>
        <w:shd w:val="clear" w:color="auto" w:fill="FFFFFF"/>
        <w:spacing w:after="150" w:line="240" w:lineRule="auto"/>
        <w:ind w:left="77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C547A" w:rsidRDefault="006C547A" w:rsidP="006C547A">
      <w:pPr>
        <w:rPr>
          <w:rFonts w:ascii="Times New Roman" w:hAnsi="Times New Roman" w:cs="Times New Roman"/>
          <w:sz w:val="28"/>
          <w:szCs w:val="28"/>
        </w:rPr>
      </w:pPr>
    </w:p>
    <w:p w:rsidR="006C547A" w:rsidRDefault="006C547A" w:rsidP="006C547A"/>
    <w:p w:rsidR="006C547A" w:rsidRDefault="006C547A" w:rsidP="006C547A"/>
    <w:p w:rsidR="006C547A" w:rsidRDefault="006C547A" w:rsidP="006C547A">
      <w:pPr>
        <w:rPr>
          <w:lang w:val="uk-UA"/>
        </w:rPr>
      </w:pPr>
    </w:p>
    <w:p w:rsidR="00C6726E" w:rsidRDefault="00C6726E"/>
    <w:sectPr w:rsidR="00C6726E" w:rsidSect="006C547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6404D"/>
    <w:multiLevelType w:val="multilevel"/>
    <w:tmpl w:val="1E5867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A60871"/>
    <w:multiLevelType w:val="multilevel"/>
    <w:tmpl w:val="0D700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47A"/>
    <w:rsid w:val="006C547A"/>
    <w:rsid w:val="00C6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547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5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4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547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5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4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.coe.int/leam-about-your-rights-in-a-digital-environment-ukr/1680a052c2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1860</Words>
  <Characters>10604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cp:lastPrinted>2025-09-02T10:12:00Z</cp:lastPrinted>
  <dcterms:created xsi:type="dcterms:W3CDTF">2025-09-02T10:06:00Z</dcterms:created>
  <dcterms:modified xsi:type="dcterms:W3CDTF">2025-09-02T10:13:00Z</dcterms:modified>
</cp:coreProperties>
</file>