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jc w:val="center"/>
        <w:rPr>
          <w:rFonts w:ascii="Times New Roman" w:hAnsi="Times New Roman"/>
          <w:bCs/>
          <w:i/>
          <w:i/>
          <w:iCs/>
          <w:color w:val="000000"/>
          <w:sz w:val="28"/>
          <w:szCs w:val="28"/>
          <w:lang w:eastAsia="uk-UA"/>
        </w:rPr>
      </w:pPr>
      <w:r>
        <w:rPr>
          <w:rFonts w:ascii="Times New Roman" w:hAnsi="Times New Roman"/>
          <w:bCs/>
          <w:i/>
          <w:iCs/>
          <w:color w:val="000000"/>
          <w:sz w:val="28"/>
          <w:szCs w:val="28"/>
          <w:lang w:eastAsia="uk-UA"/>
        </w:rPr>
      </w:r>
    </w:p>
    <w:p>
      <w:pPr>
        <w:pStyle w:val="Normal"/>
        <w:shd w:val="clear" w:color="auto" w:fill="FFFFFF"/>
        <w:spacing w:lineRule="auto" w:line="240" w:before="0" w:after="0"/>
        <w:jc w:val="center"/>
        <w:rPr>
          <w:b/>
          <w:b/>
          <w:bCs/>
          <w:i w:val="false"/>
          <w:i w:val="false"/>
          <w:iCs w:val="false"/>
        </w:rPr>
      </w:pPr>
      <w:r>
        <w:rPr>
          <w:rFonts w:ascii="Times New Roman" w:hAnsi="Times New Roman"/>
          <w:b/>
          <w:bCs/>
          <w:i w:val="false"/>
          <w:iCs w:val="false"/>
          <w:color w:val="000000"/>
          <w:sz w:val="28"/>
          <w:szCs w:val="28"/>
          <w:lang w:eastAsia="uk-UA"/>
        </w:rPr>
        <w:t xml:space="preserve">Порядок подання та розгляду </w:t>
      </w:r>
    </w:p>
    <w:p>
      <w:pPr>
        <w:pStyle w:val="Normal"/>
        <w:shd w:val="clear" w:color="auto" w:fill="FFFFFF"/>
        <w:spacing w:lineRule="auto" w:line="240" w:before="0" w:after="0"/>
        <w:jc w:val="center"/>
        <w:rPr>
          <w:b/>
          <w:b/>
          <w:bCs/>
          <w:i w:val="false"/>
          <w:i w:val="false"/>
          <w:iCs w:val="false"/>
        </w:rPr>
      </w:pPr>
      <w:r>
        <w:rPr>
          <w:rFonts w:ascii="Times New Roman" w:hAnsi="Times New Roman"/>
          <w:b/>
          <w:bCs/>
          <w:i w:val="false"/>
          <w:iCs w:val="false"/>
          <w:color w:val="000000"/>
          <w:sz w:val="28"/>
          <w:szCs w:val="28"/>
          <w:lang w:eastAsia="uk-UA"/>
        </w:rPr>
        <w:t xml:space="preserve">(з дотриманням конфіденційності) заяв про випадки насильства, </w:t>
      </w:r>
    </w:p>
    <w:p>
      <w:pPr>
        <w:pStyle w:val="Normal"/>
        <w:shd w:val="clear" w:color="auto" w:fill="FFFFFF"/>
        <w:spacing w:lineRule="auto" w:line="240" w:before="0" w:after="0"/>
        <w:jc w:val="center"/>
        <w:rPr>
          <w:b/>
          <w:b/>
          <w:bCs/>
          <w:i w:val="false"/>
          <w:i w:val="false"/>
          <w:iCs w:val="false"/>
        </w:rPr>
      </w:pPr>
      <w:r>
        <w:rPr>
          <w:rFonts w:ascii="Times New Roman" w:hAnsi="Times New Roman"/>
          <w:b/>
          <w:bCs/>
          <w:i w:val="false"/>
          <w:iCs w:val="false"/>
          <w:color w:val="000000"/>
          <w:sz w:val="28"/>
          <w:szCs w:val="28"/>
          <w:lang w:eastAsia="uk-UA"/>
        </w:rPr>
        <w:t>булінгу (цькування) в закладі освіти</w:t>
      </w:r>
    </w:p>
    <w:p>
      <w:pPr>
        <w:pStyle w:val="Normal"/>
        <w:shd w:val="clear" w:color="auto" w:fill="FFFFFF"/>
        <w:spacing w:lineRule="auto" w:line="240" w:beforeAutospacing="1" w:afterAutospacing="1"/>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1. Учасники освітнього процесу у разі виявлення ознак чи факторів, що можуть вказувати на насильство, булінг, складні життєві обставини, жорстоке поводження з дитиною/працівником закладу освіти або ризики щодо їх виникнення стосовно дитини/працівника закладу освіти, можуть подати письмову заяву уповноваженій особі закладу освіти. Заява подається у письмовому вигляді на ім’я керівника освітнього закладу відповідно до Закону України «Про звернення громадян». Право подати заяву мають здобувачі освіти, їх батьки, педагоги, інші учасники освітнього процесу. Заява заповнюється державною мовою, розбірливим почерком. Виправлення не допускаються. </w:t>
      </w:r>
    </w:p>
    <w:p>
      <w:pPr>
        <w:pStyle w:val="Normal"/>
        <w:shd w:val="clear" w:color="auto" w:fill="FFFFFF"/>
        <w:spacing w:lineRule="auto" w:line="240" w:beforeAutospacing="1" w:afterAutospacing="1"/>
        <w:jc w:val="both"/>
        <w:rPr>
          <w:rFonts w:ascii="Times New Roman" w:hAnsi="Times New Roman"/>
          <w:color w:val="000000"/>
          <w:sz w:val="28"/>
          <w:szCs w:val="28"/>
          <w:lang w:eastAsia="uk-UA"/>
        </w:rPr>
      </w:pPr>
      <w:r>
        <w:rPr>
          <w:rFonts w:ascii="Times New Roman" w:hAnsi="Times New Roman"/>
          <w:color w:val="000000"/>
          <w:sz w:val="28"/>
          <w:szCs w:val="28"/>
          <w:lang w:eastAsia="uk-UA"/>
        </w:rPr>
        <w:t>2. Наказом по закладу освіти створюється Комісія з розгляду випадків булінгу (цькування) за участі педагогічних працівників, практичного психолога  освітнього закладу, батьків потерпілого та булера, керівника закладу, інших зацікавлених осіб.</w:t>
      </w:r>
    </w:p>
    <w:p>
      <w:pPr>
        <w:pStyle w:val="Normal"/>
        <w:shd w:val="clear" w:color="auto" w:fill="FFFFFF"/>
        <w:spacing w:lineRule="auto" w:line="240" w:beforeAutospacing="1" w:afterAutospacing="1"/>
        <w:jc w:val="both"/>
        <w:rPr>
          <w:rFonts w:ascii="Times New Roman" w:hAnsi="Times New Roman"/>
          <w:color w:val="000000"/>
          <w:sz w:val="28"/>
          <w:szCs w:val="28"/>
          <w:lang w:eastAsia="uk-UA"/>
        </w:rPr>
      </w:pPr>
      <w:r>
        <w:rPr>
          <w:rFonts w:ascii="Times New Roman" w:hAnsi="Times New Roman"/>
          <w:color w:val="000000"/>
          <w:sz w:val="28"/>
          <w:szCs w:val="28"/>
          <w:lang w:eastAsia="uk-UA"/>
        </w:rPr>
        <w:t> </w:t>
      </w:r>
      <w:r>
        <w:rPr>
          <w:rFonts w:ascii="Times New Roman" w:hAnsi="Times New Roman"/>
          <w:color w:val="000000"/>
          <w:sz w:val="28"/>
          <w:szCs w:val="28"/>
          <w:lang w:eastAsia="uk-UA"/>
        </w:rPr>
        <w:t>3. Уповноважена особа закладу освіти у 3-денний період з моменту отримання заяви скликає засідання Комісії з розгляду випадків насильства, булінгу (цькування).</w:t>
      </w:r>
    </w:p>
    <w:p>
      <w:pPr>
        <w:pStyle w:val="Normal"/>
        <w:shd w:val="clear" w:color="auto" w:fill="FFFFFF"/>
        <w:spacing w:lineRule="auto" w:line="240" w:beforeAutospacing="1" w:afterAutospacing="1"/>
        <w:jc w:val="both"/>
        <w:rPr>
          <w:rFonts w:ascii="Times New Roman" w:hAnsi="Times New Roman"/>
          <w:color w:val="000000"/>
          <w:sz w:val="28"/>
          <w:szCs w:val="28"/>
          <w:lang w:eastAsia="uk-UA"/>
        </w:rPr>
      </w:pPr>
      <w:r>
        <w:rPr>
          <w:rFonts w:ascii="Times New Roman" w:hAnsi="Times New Roman"/>
          <w:color w:val="000000"/>
          <w:sz w:val="28"/>
          <w:szCs w:val="28"/>
          <w:lang w:eastAsia="uk-UA"/>
        </w:rPr>
        <w:t> </w:t>
      </w:r>
      <w:r>
        <w:rPr>
          <w:rFonts w:ascii="Times New Roman" w:hAnsi="Times New Roman"/>
          <w:color w:val="000000"/>
          <w:sz w:val="28"/>
          <w:szCs w:val="28"/>
          <w:lang w:eastAsia="uk-UA"/>
        </w:rPr>
        <w:t>4. Уповноважена особа у разі виникнення підозри, або отримання заяви щодо насильства, булінгу, жорстокого поводження з дитиною/працівником закладу освіти або якщо є реальна загроза його вчинення (удома, з боку однолітків, з боку інших) проводить зустріч із особою, стосовно якої є інформація про жорстоке поводження, намагається розговорити, встановити контакт, довірливі стосунки та надати емоційну підтримку; проявити інтерес, дружелюбність, щирість, теплоту і симпатію, постраждала особа має відчути, що її дійсно чують і розуміють. У процесі розмови, якщо особа підтверджує факт жорстокого поводження чи насильства щодо неї, уповноваженій особі необхідно з’ясувати терміни подій, які відбулися, та отримати їх опис.</w:t>
      </w:r>
    </w:p>
    <w:p>
      <w:pPr>
        <w:pStyle w:val="Normal"/>
        <w:shd w:val="clear" w:color="auto" w:fill="FFFFFF"/>
        <w:spacing w:lineRule="auto" w:line="240" w:beforeAutospacing="1" w:afterAutospacing="1"/>
        <w:jc w:val="both"/>
        <w:rPr>
          <w:rFonts w:ascii="Times New Roman" w:hAnsi="Times New Roman"/>
          <w:color w:val="000000"/>
          <w:sz w:val="28"/>
          <w:szCs w:val="28"/>
          <w:lang w:eastAsia="uk-UA"/>
        </w:rPr>
      </w:pPr>
      <w:r>
        <w:rPr>
          <w:rFonts w:ascii="Times New Roman" w:hAnsi="Times New Roman"/>
          <w:color w:val="000000"/>
          <w:sz w:val="28"/>
          <w:szCs w:val="28"/>
          <w:lang w:eastAsia="uk-UA"/>
        </w:rPr>
        <w:t>5. Комісія з розгляду випадків насильства, булінгу (цькування) у 7-денний період з моменту отримання заяви проводить розслідування, з’ясовує всі обставини та за результатами розслідування приймає відповідне рішення та рекомендації. За підсумками роботи комісії складається протокол. </w:t>
      </w:r>
    </w:p>
    <w:p>
      <w:pPr>
        <w:pStyle w:val="Normal"/>
        <w:shd w:val="clear" w:color="auto" w:fill="FFFFFF"/>
        <w:spacing w:lineRule="auto" w:line="240" w:beforeAutospacing="1" w:afterAutospacing="1"/>
        <w:jc w:val="both"/>
        <w:rPr>
          <w:rFonts w:ascii="Times New Roman" w:hAnsi="Times New Roman"/>
          <w:color w:val="000000"/>
          <w:sz w:val="28"/>
          <w:szCs w:val="28"/>
          <w:lang w:eastAsia="uk-UA"/>
        </w:rPr>
      </w:pPr>
      <w:r>
        <w:rPr>
          <w:rFonts w:ascii="Times New Roman" w:hAnsi="Times New Roman"/>
          <w:color w:val="000000"/>
          <w:sz w:val="28"/>
          <w:szCs w:val="28"/>
          <w:lang w:eastAsia="uk-UA"/>
        </w:rPr>
        <w:t>6. Для прийняття рішення та вжиття відповідних заходів реагування результати проведеного розслідування узагальнюються наказом по закладі освіти.        </w:t>
      </w:r>
    </w:p>
    <w:p>
      <w:pPr>
        <w:pStyle w:val="Normal"/>
        <w:shd w:val="clear" w:color="auto" w:fill="FFFFFF"/>
        <w:spacing w:lineRule="auto" w:line="240" w:beforeAutospacing="1" w:afterAutospacing="1"/>
        <w:jc w:val="both"/>
        <w:rPr>
          <w:rFonts w:ascii="Times New Roman" w:hAnsi="Times New Roman"/>
          <w:color w:val="000000"/>
          <w:sz w:val="28"/>
          <w:szCs w:val="28"/>
          <w:lang w:eastAsia="uk-UA"/>
        </w:rPr>
      </w:pPr>
      <w:r>
        <w:rPr>
          <w:rFonts w:ascii="Times New Roman" w:hAnsi="Times New Roman"/>
          <w:color w:val="000000"/>
          <w:sz w:val="28"/>
          <w:szCs w:val="28"/>
          <w:lang w:eastAsia="uk-UA"/>
        </w:rPr>
        <w:t>  </w:t>
      </w:r>
      <w:r>
        <w:rPr>
          <w:rFonts w:ascii="Times New Roman" w:hAnsi="Times New Roman"/>
          <w:color w:val="000000"/>
          <w:sz w:val="28"/>
          <w:szCs w:val="28"/>
          <w:lang w:eastAsia="uk-UA"/>
        </w:rPr>
        <w:t>7. Якщо випадок цькування був одноразовим, питання з налагодження мікроклімату в дитячому середовищі та розв’язання конфлікту вирішується у межах закладу освіти учасниками освітнього процесу. Результат  розслідування та рішення комісії доводиться керівником закладу до відома постраждалого. У випадку, якщо постраждалий не згодний з рішенням комісії, керівник закладу повідомляє про право звернутися із заявою до органів Національної поліції  України.</w:t>
      </w:r>
    </w:p>
    <w:p>
      <w:pPr>
        <w:pStyle w:val="Normal"/>
        <w:shd w:val="clear" w:color="auto" w:fill="FFFFFF"/>
        <w:spacing w:lineRule="auto" w:line="240" w:beforeAutospacing="1" w:afterAutospacing="1"/>
        <w:jc w:val="both"/>
        <w:rPr>
          <w:rFonts w:ascii="Times New Roman" w:hAnsi="Times New Roman"/>
          <w:color w:val="000000"/>
          <w:sz w:val="28"/>
          <w:szCs w:val="28"/>
          <w:lang w:eastAsia="uk-UA"/>
        </w:rPr>
      </w:pPr>
      <w:r>
        <w:rPr>
          <w:rFonts w:ascii="Times New Roman" w:hAnsi="Times New Roman"/>
          <w:color w:val="000000"/>
          <w:sz w:val="28"/>
          <w:szCs w:val="28"/>
          <w:lang w:eastAsia="uk-UA"/>
        </w:rPr>
        <w:t>  </w:t>
      </w:r>
      <w:r>
        <w:rPr>
          <w:rFonts w:ascii="Times New Roman" w:hAnsi="Times New Roman"/>
          <w:color w:val="000000"/>
          <w:sz w:val="28"/>
          <w:szCs w:val="28"/>
          <w:lang w:eastAsia="uk-UA"/>
        </w:rPr>
        <w:t>8. Якщо комісія визнала, що це був булінг,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   </w:t>
      </w:r>
    </w:p>
    <w:p>
      <w:pPr>
        <w:pStyle w:val="Normal"/>
        <w:shd w:val="clear" w:color="auto" w:fill="FFFFFF"/>
        <w:spacing w:lineRule="auto" w:line="240" w:beforeAutospacing="1" w:afterAutospacing="1"/>
        <w:jc w:val="both"/>
        <w:rPr>
          <w:rFonts w:ascii="Times New Roman" w:hAnsi="Times New Roman"/>
          <w:color w:val="000000"/>
          <w:sz w:val="28"/>
          <w:szCs w:val="28"/>
          <w:lang w:eastAsia="uk-UA"/>
        </w:rPr>
      </w:pPr>
      <w:r>
        <w:rPr>
          <w:rFonts w:ascii="Times New Roman" w:hAnsi="Times New Roman"/>
          <w:color w:val="000000"/>
          <w:sz w:val="28"/>
          <w:szCs w:val="28"/>
          <w:lang w:eastAsia="uk-UA"/>
        </w:rPr>
        <w:t> </w:t>
      </w:r>
      <w:r>
        <w:rPr>
          <w:rFonts w:ascii="Times New Roman" w:hAnsi="Times New Roman"/>
          <w:color w:val="000000"/>
          <w:sz w:val="28"/>
          <w:szCs w:val="28"/>
          <w:lang w:eastAsia="uk-UA"/>
        </w:rPr>
        <w:t>9. Уповноважена особа або особа, яка її замінює у разі відсутності відповідно до наказу про склад комісії,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w:t>
      </w:r>
    </w:p>
    <w:p>
      <w:pPr>
        <w:pStyle w:val="Normal"/>
        <w:shd w:val="clear" w:color="auto" w:fill="FFFFFF"/>
        <w:spacing w:lineRule="auto" w:line="240" w:beforeAutospacing="1" w:afterAutospacing="1"/>
        <w:jc w:val="both"/>
        <w:rPr>
          <w:rFonts w:ascii="Times New Roman" w:hAnsi="Times New Roman"/>
          <w:color w:val="000000"/>
          <w:sz w:val="28"/>
          <w:szCs w:val="28"/>
          <w:lang w:eastAsia="uk-UA"/>
        </w:rPr>
      </w:pPr>
      <w:r>
        <w:rPr>
          <w:rFonts w:ascii="Times New Roman" w:hAnsi="Times New Roman"/>
          <w:color w:val="000000"/>
          <w:sz w:val="28"/>
          <w:szCs w:val="28"/>
          <w:lang w:eastAsia="uk-UA"/>
        </w:rPr>
        <w:t>10. Рішення Комісії з розгляду випадків булінгу реєструється в окремому журналі (паперовий вигляд) з оригіналами підписів усіх її членів.</w:t>
      </w:r>
    </w:p>
    <w:p>
      <w:pPr>
        <w:pStyle w:val="Normal"/>
        <w:shd w:val="clear" w:color="auto" w:fill="FFFFFF"/>
        <w:spacing w:lineRule="auto" w:line="240" w:beforeAutospacing="1" w:afterAutospacing="1"/>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11. Не залежно від рішення комісії, керівник закладу забезпечує виконання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нього.</w:t>
      </w:r>
    </w:p>
    <w:p>
      <w:pPr>
        <w:pStyle w:val="Normal"/>
        <w:numPr>
          <w:ilvl w:val="0"/>
          <w:numId w:val="0"/>
        </w:numPr>
        <w:shd w:val="clear" w:color="auto" w:fill="FFFFFF"/>
        <w:spacing w:lineRule="auto" w:line="240" w:before="75" w:after="150"/>
        <w:ind w:left="0" w:hanging="0"/>
        <w:jc w:val="both"/>
        <w:outlineLvl w:val="0"/>
        <w:rPr>
          <w:rFonts w:ascii="Times New Roman" w:hAnsi="Times New Roman"/>
          <w:color w:val="6B6D5E"/>
          <w:kern w:val="2"/>
          <w:sz w:val="28"/>
          <w:szCs w:val="28"/>
          <w:lang w:eastAsia="uk-UA"/>
        </w:rPr>
      </w:pPr>
      <w:r>
        <w:rPr>
          <w:rFonts w:ascii="Times New Roman" w:hAnsi="Times New Roman"/>
          <w:bCs/>
          <w:i/>
          <w:iCs/>
          <w:color w:val="000000"/>
          <w:kern w:val="2"/>
          <w:sz w:val="28"/>
          <w:szCs w:val="28"/>
          <w:lang w:eastAsia="uk-UA"/>
        </w:rPr>
        <w:t>Зразок заяви</w:t>
      </w:r>
      <w:r>
        <w:rPr>
          <w:rFonts w:ascii="Times New Roman" w:hAnsi="Times New Roman"/>
          <w:color w:val="000000"/>
          <w:sz w:val="28"/>
          <w:szCs w:val="28"/>
          <w:lang w:eastAsia="uk-UA"/>
        </w:rPr>
        <w:t>                                       </w:t>
      </w:r>
      <w:r>
        <w:rPr>
          <w:rFonts w:ascii="Times New Roman" w:hAnsi="Times New Roman"/>
          <w:bCs/>
          <w:color w:val="000000"/>
          <w:sz w:val="28"/>
          <w:szCs w:val="28"/>
          <w:lang w:eastAsia="uk-UA"/>
        </w:rPr>
        <w:t>  </w:t>
      </w:r>
    </w:p>
    <w:tbl>
      <w:tblPr>
        <w:tblW w:w="9629" w:type="dxa"/>
        <w:jc w:val="left"/>
        <w:tblInd w:w="0" w:type="dxa"/>
        <w:tblLayout w:type="fixed"/>
        <w:tblCellMar>
          <w:top w:w="0" w:type="dxa"/>
          <w:left w:w="108" w:type="dxa"/>
          <w:bottom w:w="0" w:type="dxa"/>
          <w:right w:w="108" w:type="dxa"/>
        </w:tblCellMar>
        <w:tblLook w:val="00a0"/>
      </w:tblPr>
      <w:tblGrid>
        <w:gridCol w:w="4814"/>
        <w:gridCol w:w="4814"/>
      </w:tblGrid>
      <w:tr>
        <w:trPr/>
        <w:tc>
          <w:tcPr>
            <w:tcW w:w="4814" w:type="dxa"/>
            <w:tcBorders/>
          </w:tcPr>
          <w:p>
            <w:pPr>
              <w:pStyle w:val="Normal"/>
              <w:widowControl w:val="false"/>
              <w:spacing w:lineRule="auto" w:line="240" w:before="0" w:after="0"/>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r>
          </w:p>
        </w:tc>
        <w:tc>
          <w:tcPr>
            <w:tcW w:w="4814" w:type="dxa"/>
            <w:tcBorders/>
          </w:tcPr>
          <w:p>
            <w:pPr>
              <w:pStyle w:val="Normal"/>
              <w:widowControl w:val="false"/>
              <w:spacing w:lineRule="auto" w:line="240" w:before="0" w:after="0"/>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Директору опорного закладу</w:t>
            </w:r>
          </w:p>
          <w:p>
            <w:pPr>
              <w:pStyle w:val="Normal"/>
              <w:widowControl w:val="false"/>
              <w:spacing w:lineRule="auto" w:line="240" w:before="0" w:after="0"/>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w:t>
            </w:r>
            <w:r>
              <w:rPr>
                <w:rFonts w:ascii="Times New Roman" w:hAnsi="Times New Roman"/>
                <w:bCs/>
                <w:color w:val="000000"/>
                <w:sz w:val="28"/>
                <w:szCs w:val="28"/>
                <w:lang w:eastAsia="uk-UA"/>
              </w:rPr>
              <w:t>Деражненський ліцей”</w:t>
            </w:r>
          </w:p>
          <w:p>
            <w:pPr>
              <w:pStyle w:val="Normal"/>
              <w:widowControl w:val="false"/>
              <w:spacing w:lineRule="auto" w:line="240" w:before="0" w:after="0"/>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Галас Т.М.</w:t>
            </w:r>
          </w:p>
          <w:p>
            <w:pPr>
              <w:pStyle w:val="Normal"/>
              <w:widowControl w:val="false"/>
              <w:spacing w:lineRule="auto" w:line="240" w:before="0" w:after="0"/>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________________________________</w:t>
            </w:r>
          </w:p>
          <w:p>
            <w:pPr>
              <w:pStyle w:val="Normal"/>
              <w:widowControl w:val="false"/>
              <w:pBdr>
                <w:bottom w:val="single" w:sz="12" w:space="1" w:color="000000"/>
              </w:pBdr>
              <w:spacing w:lineRule="auto" w:line="240" w:before="0" w:after="0"/>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(прізвище, ім'я, по батькові заявника)</w:t>
            </w:r>
          </w:p>
          <w:p>
            <w:pPr>
              <w:pStyle w:val="Normal"/>
              <w:widowControl w:val="false"/>
              <w:pBdr>
                <w:bottom w:val="single" w:sz="12" w:space="1" w:color="000000"/>
              </w:pBdr>
              <w:spacing w:lineRule="auto" w:line="240" w:before="0" w:after="0"/>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r>
          </w:p>
          <w:p>
            <w:pPr>
              <w:pStyle w:val="Normal"/>
              <w:widowControl w:val="false"/>
              <w:shd w:val="clear" w:color="auto" w:fill="FFFFFF"/>
              <w:spacing w:lineRule="auto" w:line="240" w:before="0" w:after="0"/>
              <w:jc w:val="both"/>
              <w:rPr>
                <w:rFonts w:ascii="Times New Roman" w:hAnsi="Times New Roman"/>
                <w:color w:val="000000"/>
                <w:sz w:val="28"/>
                <w:szCs w:val="28"/>
                <w:lang w:eastAsia="uk-UA"/>
              </w:rPr>
            </w:pPr>
            <w:r>
              <w:rPr>
                <w:rFonts w:ascii="Times New Roman" w:hAnsi="Times New Roman"/>
                <w:bCs/>
                <w:color w:val="000000"/>
                <w:sz w:val="28"/>
                <w:szCs w:val="28"/>
                <w:lang w:eastAsia="uk-UA"/>
              </w:rPr>
              <w:t xml:space="preserve"> </w:t>
            </w:r>
            <w:r>
              <w:rPr>
                <w:rFonts w:ascii="Times New Roman" w:hAnsi="Times New Roman"/>
                <w:bCs/>
                <w:color w:val="000000"/>
                <w:sz w:val="28"/>
                <w:szCs w:val="28"/>
                <w:lang w:eastAsia="uk-UA"/>
              </w:rPr>
              <w:t>телефон _______________</w:t>
            </w:r>
          </w:p>
          <w:p>
            <w:pPr>
              <w:pStyle w:val="Normal"/>
              <w:widowControl w:val="false"/>
              <w:shd w:val="clear" w:color="auto" w:fill="FFFFFF"/>
              <w:spacing w:lineRule="auto" w:line="240" w:before="0" w:after="0"/>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r>
          </w:p>
        </w:tc>
      </w:tr>
    </w:tbl>
    <w:p>
      <w:pPr>
        <w:pStyle w:val="Normal"/>
        <w:shd w:val="clear" w:color="auto" w:fill="FFFFFF"/>
        <w:spacing w:lineRule="auto" w:line="240" w:before="0" w:after="0"/>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r>
    </w:p>
    <w:p>
      <w:pPr>
        <w:pStyle w:val="Normal"/>
        <w:shd w:val="clear" w:color="auto" w:fill="FFFFFF"/>
        <w:spacing w:lineRule="auto" w:line="240" w:before="0" w:after="0"/>
        <w:jc w:val="center"/>
        <w:rPr>
          <w:rFonts w:ascii="Times New Roman" w:hAnsi="Times New Roman"/>
          <w:color w:val="000000"/>
          <w:sz w:val="28"/>
          <w:szCs w:val="28"/>
          <w:lang w:eastAsia="uk-UA"/>
        </w:rPr>
      </w:pPr>
      <w:r>
        <w:rPr>
          <w:rFonts w:ascii="Times New Roman" w:hAnsi="Times New Roman"/>
          <w:bCs/>
          <w:color w:val="000000"/>
          <w:sz w:val="28"/>
          <w:szCs w:val="28"/>
          <w:lang w:eastAsia="uk-UA"/>
        </w:rPr>
        <w:t>Заява</w:t>
      </w:r>
    </w:p>
    <w:p>
      <w:pPr>
        <w:pStyle w:val="Normal"/>
        <w:shd w:val="clear" w:color="auto" w:fill="FFFFFF"/>
        <w:spacing w:lineRule="auto" w:line="240" w:before="0" w:after="0"/>
        <w:jc w:val="both"/>
        <w:rPr>
          <w:rFonts w:ascii="Times New Roman" w:hAnsi="Times New Roman"/>
          <w:color w:val="000000"/>
          <w:sz w:val="28"/>
          <w:szCs w:val="28"/>
          <w:lang w:eastAsia="uk-UA"/>
        </w:rPr>
      </w:pPr>
      <w:r>
        <w:rPr>
          <w:rFonts w:ascii="Times New Roman" w:hAnsi="Times New Roman"/>
          <w:bCs/>
          <w:color w:val="000000"/>
          <w:sz w:val="28"/>
          <w:szCs w:val="28"/>
          <w:lang w:eastAsia="uk-UA"/>
        </w:rPr>
        <w:t> </w:t>
      </w:r>
    </w:p>
    <w:p>
      <w:pPr>
        <w:pStyle w:val="Normal"/>
        <w:shd w:val="clear" w:color="auto" w:fill="FFFFFF"/>
        <w:spacing w:lineRule="auto" w:line="240" w:before="0" w:after="0"/>
        <w:ind w:firstLine="708"/>
        <w:rPr>
          <w:rFonts w:ascii="Times New Roman" w:hAnsi="Times New Roman"/>
          <w:color w:val="000000"/>
          <w:sz w:val="28"/>
          <w:szCs w:val="28"/>
          <w:lang w:eastAsia="uk-UA"/>
        </w:rPr>
      </w:pPr>
      <w:r>
        <w:rPr>
          <w:rFonts w:ascii="Times New Roman" w:hAnsi="Times New Roman"/>
          <w:bCs/>
          <w:color w:val="000000"/>
          <w:sz w:val="28"/>
          <w:szCs w:val="28"/>
          <w:lang w:eastAsia="uk-UA"/>
        </w:rPr>
        <w:t>Доводжу до Вашого відома, що ___________________________________________________________________________________________________________________________________________________________________________________________________________</w:t>
      </w:r>
    </w:p>
    <w:p>
      <w:pPr>
        <w:pStyle w:val="Normal"/>
        <w:shd w:val="clear" w:color="auto" w:fill="FFFFFF"/>
        <w:spacing w:lineRule="auto" w:line="240" w:before="0" w:after="0"/>
        <w:jc w:val="both"/>
        <w:rPr>
          <w:rFonts w:ascii="Times New Roman" w:hAnsi="Times New Roman"/>
          <w:color w:val="000000"/>
          <w:sz w:val="28"/>
          <w:szCs w:val="28"/>
          <w:lang w:eastAsia="uk-UA"/>
        </w:rPr>
      </w:pPr>
      <w:r>
        <w:rPr>
          <w:rFonts w:ascii="Times New Roman" w:hAnsi="Times New Roman"/>
          <w:bCs/>
          <w:color w:val="000000"/>
          <w:sz w:val="28"/>
          <w:szCs w:val="28"/>
          <w:lang w:eastAsia="uk-UA"/>
        </w:rPr>
        <w:t> </w:t>
      </w:r>
    </w:p>
    <w:tbl>
      <w:tblPr>
        <w:tblW w:w="9727" w:type="dxa"/>
        <w:jc w:val="left"/>
        <w:tblInd w:w="0" w:type="dxa"/>
        <w:tblLayout w:type="fixed"/>
        <w:tblCellMar>
          <w:top w:w="15" w:type="dxa"/>
          <w:left w:w="15" w:type="dxa"/>
          <w:bottom w:w="15" w:type="dxa"/>
          <w:right w:w="15" w:type="dxa"/>
        </w:tblCellMar>
        <w:tblLook w:val="00a0"/>
      </w:tblPr>
      <w:tblGrid>
        <w:gridCol w:w="9727"/>
      </w:tblGrid>
      <w:tr>
        <w:trPr/>
        <w:tc>
          <w:tcPr>
            <w:tcW w:w="9727" w:type="dxa"/>
            <w:tcBorders/>
            <w:shd w:color="auto" w:fill="FFFFFF" w:val="clear"/>
            <w:vAlign w:val="center"/>
          </w:tcPr>
          <w:p>
            <w:pPr>
              <w:pStyle w:val="Normal"/>
              <w:widowControl w:val="false"/>
              <w:spacing w:lineRule="auto" w:line="240" w:before="0" w:after="0"/>
              <w:jc w:val="both"/>
              <w:rPr>
                <w:rFonts w:ascii="Times New Roman" w:hAnsi="Times New Roman"/>
                <w:sz w:val="28"/>
                <w:szCs w:val="28"/>
                <w:lang w:eastAsia="uk-UA"/>
              </w:rPr>
            </w:pPr>
            <w:r>
              <w:rPr>
                <w:rFonts w:ascii="Times New Roman" w:hAnsi="Times New Roman"/>
                <w:sz w:val="28"/>
                <w:szCs w:val="28"/>
                <w:lang w:eastAsia="uk-UA"/>
              </w:rPr>
            </w:r>
          </w:p>
          <w:p>
            <w:pPr>
              <w:pStyle w:val="Normal"/>
              <w:widowControl w:val="false"/>
              <w:spacing w:lineRule="auto" w:line="240" w:before="0" w:after="0"/>
              <w:jc w:val="both"/>
              <w:rPr>
                <w:rFonts w:ascii="Times New Roman" w:hAnsi="Times New Roman"/>
                <w:sz w:val="28"/>
                <w:szCs w:val="28"/>
                <w:lang w:eastAsia="uk-UA"/>
              </w:rPr>
            </w:pPr>
            <w:r>
              <w:rPr>
                <w:rFonts w:ascii="Times New Roman" w:hAnsi="Times New Roman"/>
                <w:bCs/>
                <w:sz w:val="28"/>
                <w:szCs w:val="28"/>
                <w:lang w:eastAsia="uk-UA"/>
              </w:rPr>
              <w:t> </w:t>
            </w:r>
            <w:r>
              <w:rPr>
                <w:rFonts w:ascii="Times New Roman" w:hAnsi="Times New Roman"/>
                <w:sz w:val="28"/>
                <w:szCs w:val="28"/>
                <w:lang w:eastAsia="uk-UA"/>
              </w:rPr>
              <w:t>Опис ситуації та окремих фактів</w:t>
            </w:r>
          </w:p>
          <w:p>
            <w:pPr>
              <w:pStyle w:val="Normal"/>
              <w:widowControl w:val="false"/>
              <w:spacing w:lineRule="auto" w:line="240" w:before="0" w:after="0"/>
              <w:jc w:val="both"/>
              <w:rPr>
                <w:rFonts w:ascii="Times New Roman" w:hAnsi="Times New Roman"/>
                <w:sz w:val="28"/>
                <w:szCs w:val="28"/>
                <w:lang w:eastAsia="uk-UA"/>
              </w:rPr>
            </w:pPr>
            <w:r>
              <w:rPr>
                <w:rFonts w:ascii="Times New Roman" w:hAnsi="Times New Roman"/>
                <w:sz w:val="28"/>
                <w:szCs w:val="28"/>
                <w:lang w:eastAsia="uk-UA"/>
              </w:rPr>
            </w:r>
          </w:p>
        </w:tc>
      </w:tr>
    </w:tbl>
    <w:p>
      <w:pPr>
        <w:pStyle w:val="Normal"/>
        <w:shd w:val="clear" w:color="auto" w:fill="FFFFFF"/>
        <w:spacing w:lineRule="auto" w:line="240" w:before="0" w:after="0"/>
        <w:jc w:val="both"/>
        <w:rPr>
          <w:rFonts w:ascii="Times New Roman" w:hAnsi="Times New Roman"/>
          <w:color w:val="000000"/>
          <w:sz w:val="28"/>
          <w:szCs w:val="28"/>
          <w:lang w:eastAsia="uk-UA"/>
        </w:rPr>
      </w:pPr>
      <w:r>
        <w:rPr>
          <w:rFonts w:ascii="Times New Roman" w:hAnsi="Times New Roman"/>
          <w:bCs/>
          <w:color w:val="000000"/>
          <w:sz w:val="28"/>
          <w:szCs w:val="28"/>
          <w:lang w:eastAsia="uk-UA"/>
        </w:rPr>
        <w:t> </w:t>
      </w:r>
    </w:p>
    <w:p>
      <w:pPr>
        <w:pStyle w:val="Normal"/>
        <w:shd w:val="clear" w:color="auto" w:fill="FFFFFF"/>
        <w:spacing w:lineRule="auto" w:line="240" w:before="0" w:after="0"/>
        <w:jc w:val="both"/>
        <w:rPr>
          <w:rFonts w:ascii="Times New Roman" w:hAnsi="Times New Roman"/>
          <w:color w:val="000000"/>
          <w:sz w:val="28"/>
          <w:szCs w:val="28"/>
          <w:lang w:eastAsia="uk-UA"/>
        </w:rPr>
      </w:pPr>
      <w:r>
        <w:rPr>
          <w:rFonts w:ascii="Times New Roman" w:hAnsi="Times New Roman"/>
          <w:bCs/>
          <w:color w:val="000000"/>
          <w:sz w:val="28"/>
          <w:szCs w:val="28"/>
          <w:lang w:eastAsia="uk-UA"/>
        </w:rPr>
        <w:t>Прошу терміново провести розслідування ситуації, що склалася. </w:t>
      </w:r>
    </w:p>
    <w:p>
      <w:pPr>
        <w:pStyle w:val="Normal"/>
        <w:shd w:val="clear" w:color="auto" w:fill="FFFFFF"/>
        <w:spacing w:lineRule="auto" w:line="240" w:before="0" w:after="0"/>
        <w:jc w:val="both"/>
        <w:rPr>
          <w:rFonts w:ascii="Times New Roman" w:hAnsi="Times New Roman"/>
          <w:color w:val="000000"/>
          <w:sz w:val="28"/>
          <w:szCs w:val="28"/>
          <w:lang w:eastAsia="uk-UA"/>
        </w:rPr>
      </w:pPr>
      <w:r>
        <w:rPr>
          <w:rFonts w:ascii="Times New Roman" w:hAnsi="Times New Roman"/>
          <w:bCs/>
          <w:color w:val="000000"/>
          <w:sz w:val="28"/>
          <w:szCs w:val="28"/>
          <w:lang w:eastAsia="uk-UA"/>
        </w:rPr>
        <w:t xml:space="preserve">                                                                </w:t>
      </w:r>
    </w:p>
    <w:p>
      <w:pPr>
        <w:pStyle w:val="Normal"/>
        <w:shd w:val="clear" w:color="auto" w:fill="FFFFFF"/>
        <w:spacing w:lineRule="auto" w:line="240" w:before="0" w:after="0"/>
        <w:jc w:val="both"/>
        <w:rPr>
          <w:rFonts w:ascii="Times New Roman" w:hAnsi="Times New Roman"/>
          <w:color w:val="000000"/>
          <w:sz w:val="28"/>
          <w:szCs w:val="28"/>
          <w:lang w:eastAsia="uk-UA"/>
        </w:rPr>
      </w:pPr>
      <w:r>
        <w:rPr>
          <w:rFonts w:ascii="Times New Roman" w:hAnsi="Times New Roman"/>
          <w:bCs/>
          <w:color w:val="000000"/>
          <w:sz w:val="28"/>
          <w:szCs w:val="28"/>
          <w:lang w:eastAsia="uk-UA"/>
        </w:rPr>
        <w:t xml:space="preserve">                   </w:t>
      </w:r>
      <w:r>
        <w:rPr>
          <w:rFonts w:ascii="Times New Roman" w:hAnsi="Times New Roman"/>
          <w:bCs/>
          <w:color w:val="000000"/>
          <w:sz w:val="28"/>
          <w:szCs w:val="28"/>
          <w:u w:val="single"/>
          <w:lang w:eastAsia="uk-UA"/>
        </w:rPr>
        <w:t xml:space="preserve">дата </w:t>
      </w:r>
      <w:r>
        <w:rPr>
          <w:rFonts w:ascii="Times New Roman" w:hAnsi="Times New Roman"/>
          <w:bCs/>
          <w:color w:val="000000"/>
          <w:sz w:val="28"/>
          <w:szCs w:val="28"/>
          <w:lang w:eastAsia="uk-UA"/>
        </w:rPr>
        <w:t xml:space="preserve">                                                                                 (підпис)</w:t>
      </w:r>
    </w:p>
    <w:sectPr>
      <w:type w:val="nextPage"/>
      <w:pgSz w:w="11906" w:h="16838"/>
      <w:pgMar w:left="1418" w:right="851" w:gutter="0" w:header="0" w:top="567"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423b"/>
    <w:pPr>
      <w:widowControl/>
      <w:suppressAutoHyphens w:val="true"/>
      <w:bidi w:val="0"/>
      <w:spacing w:lineRule="auto" w:line="259" w:before="0" w:after="160"/>
      <w:jc w:val="left"/>
    </w:pPr>
    <w:rPr>
      <w:rFonts w:ascii="Calibri" w:hAnsi="Calibri" w:eastAsia="Calibri" w:cs="Times New Roman"/>
      <w:color w:val="auto"/>
      <w:kern w:val="0"/>
      <w:sz w:val="22"/>
      <w:szCs w:val="22"/>
      <w:lang w:val="uk-UA" w:eastAsia="en-US" w:bidi="ar-SA"/>
    </w:rPr>
  </w:style>
  <w:style w:type="paragraph" w:styleId="1">
    <w:name w:val="Heading 1"/>
    <w:basedOn w:val="Normal"/>
    <w:link w:val="Heading1Char"/>
    <w:uiPriority w:val="99"/>
    <w:qFormat/>
    <w:rsid w:val="0056146f"/>
    <w:pPr>
      <w:spacing w:lineRule="auto" w:line="240" w:beforeAutospacing="1" w:afterAutospacing="1"/>
      <w:outlineLvl w:val="0"/>
    </w:pPr>
    <w:rPr>
      <w:rFonts w:ascii="Times New Roman" w:hAnsi="Times New Roman" w:eastAsia="Times New Roman"/>
      <w:b/>
      <w:bCs/>
      <w:kern w:val="2"/>
      <w:sz w:val="48"/>
      <w:szCs w:val="48"/>
      <w:lang w:eastAsia="uk-UA"/>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56146f"/>
    <w:rPr>
      <w:rFonts w:ascii="Times New Roman" w:hAnsi="Times New Roman" w:cs="Times New Roman"/>
      <w:b/>
      <w:bCs/>
      <w:kern w:val="2"/>
      <w:sz w:val="48"/>
      <w:szCs w:val="48"/>
      <w:lang w:eastAsia="uk-UA"/>
    </w:rPr>
  </w:style>
  <w:style w:type="character" w:styleId="Style13">
    <w:name w:val="Виділення"/>
    <w:basedOn w:val="DefaultParagraphFont"/>
    <w:uiPriority w:val="99"/>
    <w:qFormat/>
    <w:rsid w:val="0056146f"/>
    <w:rPr>
      <w:rFonts w:cs="Times New Roman"/>
      <w:i/>
      <w:iCs/>
    </w:rPr>
  </w:style>
  <w:style w:type="character" w:styleId="Strong">
    <w:name w:val="Strong"/>
    <w:basedOn w:val="DefaultParagraphFont"/>
    <w:uiPriority w:val="99"/>
    <w:qFormat/>
    <w:rsid w:val="0056146f"/>
    <w:rPr>
      <w:rFonts w:cs="Times New Roman"/>
      <w:b/>
      <w:bCs/>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Покажчик"/>
    <w:basedOn w:val="Normal"/>
    <w:qFormat/>
    <w:pPr>
      <w:suppressLineNumbers/>
    </w:pPr>
    <w:rPr>
      <w:rFonts w:cs="Lucida Sans"/>
      <w:lang w:val="zxx" w:eastAsia="zxx" w:bidi="zxx"/>
    </w:rPr>
  </w:style>
  <w:style w:type="paragraph" w:styleId="NormalWeb">
    <w:name w:val="Normal (Web)"/>
    <w:basedOn w:val="Normal"/>
    <w:uiPriority w:val="99"/>
    <w:semiHidden/>
    <w:qFormat/>
    <w:rsid w:val="0056146f"/>
    <w:pPr>
      <w:spacing w:lineRule="auto" w:line="240" w:beforeAutospacing="1" w:afterAutospacing="1"/>
    </w:pPr>
    <w:rPr>
      <w:rFonts w:ascii="Times New Roman" w:hAnsi="Times New Roman" w:eastAsia="Times New Roman"/>
      <w:sz w:val="24"/>
      <w:szCs w:val="24"/>
      <w:lang w:eastAsia="uk-U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56146f"/>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543</TotalTime>
  <Application>LibreOffice/7.2.2.2$Windows_X86_64 LibreOffice_project/02b2acce88a210515b4a5bb2e46cbfb63fe97d56</Application>
  <AppVersion>15.0000</AppVersion>
  <Pages>2</Pages>
  <Words>511</Words>
  <Characters>3682</Characters>
  <CharactersWithSpaces>4405</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2021-03-26T07:34:00Z</dcterms:created>
  <dc:creator>Dell</dc:creator>
  <dc:description/>
  <dc:language>uk-UA</dc:language>
  <cp:lastModifiedBy/>
  <dcterms:modified xsi:type="dcterms:W3CDTF">2024-03-05T16:07:59Z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