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31" w:rsidRPr="00B16231" w:rsidRDefault="00B16231" w:rsidP="00B16231">
      <w:pPr>
        <w:spacing w:before="100" w:beforeAutospacing="1" w:after="0"/>
        <w:ind w:left="-850"/>
        <w:jc w:val="center"/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val="uk-UA" w:eastAsia="ru-RU"/>
        </w:rPr>
      </w:pPr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val="uk-UA" w:eastAsia="ru-RU"/>
        </w:rPr>
        <w:t>Консультація для батьків:</w:t>
      </w:r>
    </w:p>
    <w:p w:rsidR="00B16231" w:rsidRPr="00B16231" w:rsidRDefault="00B16231" w:rsidP="00B16231">
      <w:pPr>
        <w:spacing w:before="100" w:beforeAutospacing="1" w:after="0"/>
        <w:ind w:left="-850"/>
        <w:jc w:val="center"/>
        <w:rPr>
          <w:rFonts w:ascii="Times New Roman" w:eastAsia="Times New Roman" w:hAnsi="Times New Roman" w:cs="Times New Roman"/>
          <w:color w:val="548DD4" w:themeColor="text2" w:themeTint="99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 xml:space="preserve">«Батьки‚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>чи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>готові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 xml:space="preserve">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>Ви 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>іти</w:t>
      </w:r>
      <w:proofErr w:type="spellEnd"/>
      <w:proofErr w:type="gramEnd"/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 xml:space="preserve"> до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>школи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548DD4" w:themeColor="text2" w:themeTint="99"/>
          <w:sz w:val="36"/>
          <w:szCs w:val="27"/>
          <w:lang w:eastAsia="ru-RU"/>
        </w:rPr>
        <w:t>?»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         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Саме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маєте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забезпечити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своєму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малюку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найбільш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сприятливі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умови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розвитку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серйозно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«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працювати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»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цьому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напрямку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якомога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част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іше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спілкуючись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дитиною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Чим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раніше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починається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така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взаємодія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батьків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дітьми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тим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краще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але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хочемо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зазначити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: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ніколи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не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ізно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почати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таку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батьківську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«роботу».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         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Щодо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питання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ідготовки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дітей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до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навчання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можна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виділити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один 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його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аспектів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: «Як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можуть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батьки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допомогти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підготовці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до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школи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?»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         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Виділимо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 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кілька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конкретних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порад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які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хоча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й 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охоплять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цього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багатогранного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питання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але все ж таки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допоможуть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дорослим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: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</w:t>
      </w: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Для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Ви —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зразок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мовлення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адже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діти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вчаться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мови‚наслідуючи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слухаючи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спостерігаючи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Ваша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обов’язково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буде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говорити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так‚ як Ви.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успішніше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засвоює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мову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той момент‚ коли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дорослі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слухають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спілкуються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нею‚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розмовляють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Виявляйте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готовність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слухати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Якщо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роль слухача Вас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втомлю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є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,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якщо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поспішаєте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забувайте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: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терпіння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виявлене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Вами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дошкільний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період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суттєво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полегшить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ваші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проблеми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майбутньому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Приділяйте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якомога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більше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часу.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Саме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дошкільні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роки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закладаються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основи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впевненості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собі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успішного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мовного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спілкування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поза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сі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’єю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Від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ступеня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раннього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мовного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розвитку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залежатиме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подальший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процес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росту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школі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забувайте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мова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мовлення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краще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розвиваються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атмосфері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спокою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безпеки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любові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У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кожної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св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темперамент,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свої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потреби,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інтереси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симпатії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антипатії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Поважайте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неповторність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Ставте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для себе та для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реальні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цілі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Ведіть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спрямовуйте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але не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ідштовхуйте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lastRenderedPageBreak/>
        <w:t xml:space="preserve">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Забезпечуйте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широкі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можливості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користування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кожним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із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5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відчуттів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: вона повинна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бачити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слухати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торкати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руками‚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куштувати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на смак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відчувати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ізноманітні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елементи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навколишнього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світу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Допомагайте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розвивати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др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ібну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моторику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м’язів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руки‚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аби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було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легше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опановувати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письмо. Для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цього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необхідно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багато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вирізати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малювати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зафарбовувати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будувати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складати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невеликі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розміром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деталі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зображення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тощо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Забезпечуйте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всі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можливості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умови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повноцінної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гри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Гра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—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пров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ідна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діяльність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робота.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Л.С.Виготський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зазначав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: «Чим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краще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грається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тим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краще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вона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ідготовлена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до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навчання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школі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».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Допомагайте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осягнути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склад числа.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Немає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необхідності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щоб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механічно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могла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л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ічити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до 100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більше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Нехай вона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рахує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до 10—20,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але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їй</w:t>
      </w:r>
      <w:proofErr w:type="spellEnd"/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вкрай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необхідно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розуміти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і знати‚ 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яких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чисел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можна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скласти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5, а 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яких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— 7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тощо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є основою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понят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ійного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розуміння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основ арифметики, а 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механічного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запам’ятовування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Працюйте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дитиною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над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розвитком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пам’яті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уваги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мислення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Для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цього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сьогодні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пропонується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багато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ігор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‚ головоломок, задач у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малюнках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лаб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іринтів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тощо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різних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періодичних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інших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виданнях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дітей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Запровадьте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вдома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єдиний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режим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дотримуйтеся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його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виконання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обов’язково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(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всі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члени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родини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).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повинна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вдома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певне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доручення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відповідати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за результат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його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виконання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Необхідною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умовою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емоційно-вольового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розвитку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є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спільність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вимог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до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неї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боку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усіх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членів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родини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‚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val="uk-UA" w:eastAsia="ru-RU"/>
        </w:rPr>
        <w:t xml:space="preserve">       </w:t>
      </w:r>
      <w:bookmarkStart w:id="0" w:name="_GoBack"/>
      <w:bookmarkEnd w:id="0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завищуйте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і 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занижуйте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самооцінку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Оцінюйте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результати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адекватно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доводьте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відома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 </w:t>
      </w:r>
    </w:p>
    <w:p w:rsidR="00B16231" w:rsidRDefault="00B16231" w:rsidP="00B16231">
      <w:pPr>
        <w:spacing w:before="100" w:beforeAutospacing="1" w:after="0"/>
        <w:ind w:left="-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val="uk-UA" w:eastAsia="ru-RU"/>
        </w:rPr>
      </w:pPr>
      <w:r w:rsidRPr="00B16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>ДЕСЯТЬ ЗАПОВІДЕЙ ДЛЯ БАТЬКІ</w:t>
      </w:r>
      <w:proofErr w:type="gramStart"/>
      <w:r w:rsidRPr="00B16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>В</w:t>
      </w:r>
      <w:proofErr w:type="gramEnd"/>
      <w:r w:rsidRPr="00B16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</w:t>
      </w:r>
    </w:p>
    <w:p w:rsidR="00B16231" w:rsidRPr="00B16231" w:rsidRDefault="00B16231" w:rsidP="00B16231">
      <w:pPr>
        <w:spacing w:before="100" w:beforeAutospacing="1" w:after="0"/>
        <w:ind w:left="-850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>МАЙБУТНЬОГО ПЕРШОКЛАСНИКА</w:t>
      </w:r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Починайте «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забувати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» про те,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ваша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маленька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Давайте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посильну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роботу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вдома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визначте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коло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обов’язків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Зробіть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м’яко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: «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який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нас уже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великий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ми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навіть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можемо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довірити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тобі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помити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посуд».</w:t>
      </w:r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lastRenderedPageBreak/>
        <w:t>Визначте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загальні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інтереси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можуть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бути як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ізнавальні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інтереси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(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улюблені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мультфільми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казки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ігри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), так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життєві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(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обговорення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сімейних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проблем).</w:t>
      </w:r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Залучайте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до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економічних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проблем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родини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Поступово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привчайте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порівнювати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ціни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орієнтуватися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сімейному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бюджеті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(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наприклад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дайте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гроші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хліб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і 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морозиво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коментуючи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суму на той і 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інший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продукт).</w:t>
      </w:r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Не лайте, 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тим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більше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— 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ображайте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присутності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сторонніх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Поважайте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почуття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й думки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скарги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боку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навколишніх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навіть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учителя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або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вихователя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відповідайте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: «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Спасибі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ми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обов’язково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поговоримо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тему».</w:t>
      </w:r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Навчіть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ділитися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своїми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проблемами.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Обговорюйте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нею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конфліктні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ситуації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виникли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однолітками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дорослими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Щиро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цікавтеся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думкою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тільки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так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зможете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сформувати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неї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правильну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життєву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позицію.</w:t>
      </w:r>
      <w:proofErr w:type="spellEnd"/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Постійно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говоріть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дитиною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Розвиток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мовлення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—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запорука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гарного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навчання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Були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театрі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(цирку,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) — нехай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розповість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більше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всього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подобалося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Слухайте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уважно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ставте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запитання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щоб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почувала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вам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цікаво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.</w:t>
      </w:r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Відповідайте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кожне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запитання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Тільки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цьому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випадку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її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ізнавальний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інтерес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ніколи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вгасне.</w:t>
      </w:r>
      <w:proofErr w:type="spellEnd"/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Постарайтеся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хоч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іноді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дивитися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на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св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іт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очима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вашої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Бачити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св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іт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очима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іншого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— основа для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взаєморозуміння.</w:t>
      </w:r>
      <w:proofErr w:type="spellEnd"/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Частіше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хваліть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вашу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дитину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скарги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про те,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щось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виходить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відповідайте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: «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Вийде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обов’язково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тільки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потрібно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раз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спробувати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». Формуйте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високий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івень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домагань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І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самі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вірте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ваша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дитина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може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все,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потрібно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тільки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допомогти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Хваліть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словом,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усмішкою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ласкою й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ніжністю.</w:t>
      </w:r>
      <w:proofErr w:type="spellEnd"/>
    </w:p>
    <w:p w:rsidR="00B16231" w:rsidRPr="00B16231" w:rsidRDefault="00B16231" w:rsidP="00B16231">
      <w:pPr>
        <w:pStyle w:val="a8"/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будуйте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ваш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взаємини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з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дитиною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на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заборонах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Погодьтеся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вони не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завжди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розумні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.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Завжди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пояснюйте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причини </w:t>
      </w:r>
      <w:proofErr w:type="gram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ваших</w:t>
      </w:r>
      <w:proofErr w:type="gram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вимог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якщо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можливо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, </w:t>
      </w:r>
      <w:proofErr w:type="spellStart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запропонуйте</w:t>
      </w:r>
      <w:proofErr w:type="spellEnd"/>
      <w:r w:rsidRPr="00B16231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альтернативу.</w:t>
      </w:r>
    </w:p>
    <w:p w:rsidR="00B16231" w:rsidRPr="00B16231" w:rsidRDefault="00B16231" w:rsidP="00B16231">
      <w:pPr>
        <w:spacing w:before="100" w:beforeAutospacing="1" w:after="0"/>
        <w:ind w:left="-85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6"/>
          <w:lang w:eastAsia="ru-RU"/>
        </w:rPr>
      </w:pPr>
      <w:proofErr w:type="spellStart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>Повага</w:t>
      </w:r>
      <w:proofErr w:type="spellEnd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 xml:space="preserve"> до </w:t>
      </w:r>
      <w:proofErr w:type="spellStart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>дитини</w:t>
      </w:r>
      <w:proofErr w:type="spellEnd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 xml:space="preserve"> зараз — фундамент </w:t>
      </w:r>
      <w:proofErr w:type="spellStart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>шанобливого</w:t>
      </w:r>
      <w:proofErr w:type="spellEnd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 xml:space="preserve"> </w:t>
      </w:r>
      <w:proofErr w:type="spellStart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>ставлення</w:t>
      </w:r>
      <w:proofErr w:type="spellEnd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 xml:space="preserve"> до Вас </w:t>
      </w:r>
      <w:proofErr w:type="spellStart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>тепер</w:t>
      </w:r>
      <w:proofErr w:type="spellEnd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 xml:space="preserve"> і в </w:t>
      </w:r>
      <w:proofErr w:type="spellStart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>майбутньому</w:t>
      </w:r>
      <w:proofErr w:type="spellEnd"/>
      <w:r w:rsidRPr="00B162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7"/>
          <w:lang w:eastAsia="ru-RU"/>
        </w:rPr>
        <w:t>.</w:t>
      </w:r>
    </w:p>
    <w:p w:rsidR="00F754A0" w:rsidRPr="00B16231" w:rsidRDefault="00F754A0" w:rsidP="00B16231">
      <w:pPr>
        <w:spacing w:after="0"/>
        <w:ind w:left="-850"/>
        <w:rPr>
          <w:rFonts w:ascii="Times New Roman" w:hAnsi="Times New Roman" w:cs="Times New Roman"/>
          <w:color w:val="000000" w:themeColor="text1"/>
          <w:sz w:val="44"/>
          <w:szCs w:val="40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jc w:val="center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p w:rsidR="00174807" w:rsidRPr="00B16231" w:rsidRDefault="00174807" w:rsidP="00B16231">
      <w:pPr>
        <w:spacing w:after="0"/>
        <w:ind w:left="-850"/>
        <w:rPr>
          <w:rFonts w:ascii="Times New Roman" w:hAnsi="Times New Roman" w:cs="Times New Roman"/>
          <w:color w:val="000000" w:themeColor="text1"/>
          <w:sz w:val="44"/>
          <w:szCs w:val="40"/>
          <w:lang w:val="uk-UA"/>
        </w:rPr>
      </w:pPr>
    </w:p>
    <w:sectPr w:rsidR="00174807" w:rsidRPr="00B16231" w:rsidSect="00B1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A8E"/>
    <w:multiLevelType w:val="hybridMultilevel"/>
    <w:tmpl w:val="45E00932"/>
    <w:lvl w:ilvl="0" w:tplc="0419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0D8318C"/>
    <w:multiLevelType w:val="multilevel"/>
    <w:tmpl w:val="0BB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4B"/>
    <w:rsid w:val="00174807"/>
    <w:rsid w:val="001D0243"/>
    <w:rsid w:val="003D2693"/>
    <w:rsid w:val="004A5F02"/>
    <w:rsid w:val="0091134B"/>
    <w:rsid w:val="00B16231"/>
    <w:rsid w:val="00B57EF4"/>
    <w:rsid w:val="00CA38A8"/>
    <w:rsid w:val="00E613ED"/>
    <w:rsid w:val="00F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024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17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6231"/>
    <w:rPr>
      <w:b/>
      <w:bCs/>
    </w:rPr>
  </w:style>
  <w:style w:type="character" w:styleId="a7">
    <w:name w:val="Hyperlink"/>
    <w:basedOn w:val="a0"/>
    <w:uiPriority w:val="99"/>
    <w:semiHidden/>
    <w:unhideWhenUsed/>
    <w:rsid w:val="00B162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6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024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17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6231"/>
    <w:rPr>
      <w:b/>
      <w:bCs/>
    </w:rPr>
  </w:style>
  <w:style w:type="character" w:styleId="a7">
    <w:name w:val="Hyperlink"/>
    <w:basedOn w:val="a0"/>
    <w:uiPriority w:val="99"/>
    <w:semiHidden/>
    <w:unhideWhenUsed/>
    <w:rsid w:val="00B162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66BA-758C-469A-97B4-64EA2E73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2018-01-16T09:15:00Z</cp:lastPrinted>
  <dcterms:created xsi:type="dcterms:W3CDTF">2018-01-28T23:23:00Z</dcterms:created>
  <dcterms:modified xsi:type="dcterms:W3CDTF">2018-01-28T23:23:00Z</dcterms:modified>
</cp:coreProperties>
</file>