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shd w:val="clear" w:fill="FFFFFF"/>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СХВАЛЕНО                                                                                 </w:t>
      </w:r>
    </w:p>
    <w:p>
      <w:pPr>
        <w:pStyle w:val="Normal"/>
        <w:pageBreakBefore w:val="false"/>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Протокол засідання </w:t>
      </w:r>
    </w:p>
    <w:p>
      <w:pPr>
        <w:pStyle w:val="Normal"/>
        <w:pageBreakBefore w:val="false"/>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педагогічної ради  </w:t>
      </w:r>
    </w:p>
    <w:p>
      <w:pPr>
        <w:pStyle w:val="Normal"/>
        <w:pageBreakBefore w:val="false"/>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опорного закладу</w:t>
      </w:r>
    </w:p>
    <w:p>
      <w:pPr>
        <w:pStyle w:val="Normal"/>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w:t>
      </w:r>
      <w:r>
        <w:rPr>
          <w:rFonts w:eastAsia="Times New Roman" w:cs="Times New Roman" w:ascii="Times New Roman" w:hAnsi="Times New Roman"/>
          <w:color w:val="333333"/>
          <w:sz w:val="28"/>
          <w:szCs w:val="28"/>
        </w:rPr>
        <w:t>Деражненський ліцей”</w:t>
      </w:r>
    </w:p>
    <w:p>
      <w:pPr>
        <w:pStyle w:val="Normal"/>
        <w:pageBreakBefore w:val="false"/>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w:t>
      </w:r>
      <w:r>
        <w:rPr>
          <w:rFonts w:eastAsia="Times New Roman" w:cs="Times New Roman" w:ascii="Times New Roman" w:hAnsi="Times New Roman"/>
          <w:color w:val="333333"/>
          <w:sz w:val="28"/>
          <w:szCs w:val="28"/>
        </w:rPr>
        <w:t xml:space="preserve">4 від 30.12.2020 року </w:t>
      </w:r>
    </w:p>
    <w:p>
      <w:pPr>
        <w:pStyle w:val="Normal"/>
        <w:pageBreakBefore w:val="false"/>
        <w:shd w:val="clear" w:fill="FFFFFF"/>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ЗАТВЕРДЖЕНО  </w:t>
      </w:r>
    </w:p>
    <w:p>
      <w:pPr>
        <w:pStyle w:val="Normal"/>
        <w:pageBreakBefore w:val="false"/>
        <w:shd w:val="clear" w:fill="FFFFFF"/>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Наказ директора </w:t>
      </w:r>
    </w:p>
    <w:p>
      <w:pPr>
        <w:pStyle w:val="Normal"/>
        <w:pageBreakBefore w:val="false"/>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lang w:val="uk-UA"/>
        </w:rPr>
        <w:t>опорного закладу</w:t>
      </w:r>
    </w:p>
    <w:p>
      <w:pPr>
        <w:pStyle w:val="Normal"/>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w:t>
      </w:r>
      <w:r>
        <w:rPr>
          <w:rFonts w:eastAsia="Times New Roman" w:cs="Times New Roman" w:ascii="Times New Roman" w:hAnsi="Times New Roman"/>
          <w:color w:val="333333"/>
          <w:sz w:val="28"/>
          <w:szCs w:val="28"/>
        </w:rPr>
        <w:t>Деражненський ліцей”</w:t>
      </w:r>
    </w:p>
    <w:p>
      <w:pPr>
        <w:pStyle w:val="Normal"/>
        <w:pageBreakBefore w:val="false"/>
        <w:shd w:val="clear" w:fill="FFFFFF"/>
        <w:spacing w:lineRule="auto" w:line="276" w:before="0" w:after="0"/>
        <w:rPr>
          <w:rFonts w:ascii="Times New Roman" w:hAnsi="Times New Roman" w:eastAsia="Times New Roman" w:cs="Times New Roman"/>
          <w:color w:val="333333"/>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233 від 30.12.2020 року</w:t>
      </w:r>
    </w:p>
    <w:p>
      <w:pPr>
        <w:sectPr>
          <w:type w:val="nextPage"/>
          <w:pgSz w:w="11906" w:h="16838"/>
          <w:pgMar w:left="1701" w:right="850" w:gutter="0" w:header="0" w:top="1134" w:footer="0" w:bottom="1134"/>
          <w:pgNumType w:start="1" w:fmt="decimal"/>
          <w:cols w:num="2" w:space="708" w:equalWidth="true" w:sep="false"/>
          <w:formProt w:val="false"/>
          <w:textDirection w:val="lrTb"/>
          <w:docGrid w:type="default" w:linePitch="100" w:charSpace="4096"/>
        </w:sectPr>
      </w:pPr>
    </w:p>
    <w:p>
      <w:pPr>
        <w:pStyle w:val="Normal"/>
        <w:pageBreakBefore w:val="false"/>
        <w:shd w:val="clear" w:fill="FFFFFF"/>
        <w:spacing w:lineRule="auto" w:line="276" w:before="0" w:after="0"/>
        <w:jc w:val="center"/>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r>
    </w:p>
    <w:p>
      <w:pPr>
        <w:pStyle w:val="Normal"/>
        <w:pageBreakBefore w:val="false"/>
        <w:shd w:val="clear" w:fill="FFFFFF"/>
        <w:spacing w:lineRule="auto" w:line="276" w:before="0" w:after="0"/>
        <w:jc w:val="center"/>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r>
    </w:p>
    <w:p>
      <w:pPr>
        <w:pStyle w:val="Normal"/>
        <w:pageBreakBefore w:val="false"/>
        <w:shd w:val="clear" w:fill="FFFFFF"/>
        <w:spacing w:lineRule="auto" w:line="276" w:before="0" w:after="0"/>
        <w:jc w:val="center"/>
        <w:rPr>
          <w:rFonts w:ascii="Times New Roman" w:hAnsi="Times New Roman" w:eastAsia="Times New Roman" w:cs="Times New Roman"/>
          <w:color w:val="333333"/>
          <w:sz w:val="28"/>
          <w:szCs w:val="28"/>
        </w:rPr>
      </w:pPr>
      <w:r>
        <w:rPr>
          <w:rFonts w:eastAsia="Times New Roman" w:cs="Times New Roman" w:ascii="Times New Roman" w:hAnsi="Times New Roman"/>
          <w:b/>
          <w:color w:val="333333"/>
          <w:sz w:val="28"/>
          <w:szCs w:val="28"/>
        </w:rPr>
        <w:t>ПОЛОЖЕННЯ</w:t>
      </w:r>
    </w:p>
    <w:p>
      <w:pPr>
        <w:pStyle w:val="Normal"/>
        <w:pageBreakBefore w:val="false"/>
        <w:shd w:val="clear" w:fill="FFFFFF"/>
        <w:spacing w:lineRule="auto" w:line="276" w:before="0" w:after="0"/>
        <w:jc w:val="center"/>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про порядок розгляду випадків булінгу (цькування)</w:t>
        <w:br/>
        <w:t>в опорному закладі “Деражненський ліцей”</w:t>
      </w:r>
    </w:p>
    <w:p>
      <w:pPr>
        <w:pStyle w:val="Normal"/>
        <w:pageBreakBefore w:val="false"/>
        <w:shd w:val="clear" w:fill="FFFFFF"/>
        <w:spacing w:lineRule="auto" w:line="240" w:before="0" w:after="0"/>
        <w:jc w:val="center"/>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numPr>
          <w:ilvl w:val="0"/>
          <w:numId w:val="1"/>
        </w:numPr>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b/>
          <w:color w:val="333333"/>
          <w:sz w:val="28"/>
          <w:szCs w:val="28"/>
        </w:rPr>
        <w:t>Загальні положення</w:t>
      </w:r>
    </w:p>
    <w:p>
      <w:pPr>
        <w:pStyle w:val="Normal"/>
        <w:pageBreakBefore w:val="false"/>
        <w:shd w:val="clear" w:fill="FFFFFF"/>
        <w:spacing w:lineRule="auto" w:line="240" w:before="0" w:after="0"/>
        <w:ind w:left="142" w:right="0"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Дане Положення регулює питання порядку розгляду випадків булінгу (цькування) </w:t>
      </w:r>
      <w:r>
        <w:rPr>
          <w:rFonts w:eastAsia="Times New Roman" w:cs="Times New Roman" w:ascii="Times New Roman" w:hAnsi="Times New Roman"/>
          <w:b w:val="false"/>
          <w:bCs w:val="false"/>
          <w:color w:val="333333"/>
          <w:sz w:val="28"/>
          <w:szCs w:val="28"/>
        </w:rPr>
        <w:t>в опорному закладі “Деражненський ліцей” </w:t>
      </w:r>
      <w:r>
        <w:rPr>
          <w:rFonts w:eastAsia="Times New Roman" w:cs="Times New Roman" w:ascii="Times New Roman" w:hAnsi="Times New Roman"/>
          <w:color w:val="333333"/>
          <w:sz w:val="28"/>
          <w:szCs w:val="28"/>
        </w:rPr>
        <w:t>  і розроблене     на підставі Законів України «Про освіту», «Про загальну середню освіту»,    «Про внесення змін до деяких законодавчих актів України щодо протидії булінгу (цькуванню)» (№2657-1111), Статуту ЗЗСО, Правил внутрішнього трудового розпорядку інших нормативно-правових та інструктивних документів.</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1.1.Булінг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1.2.Типовими ознаками булінгу (цькування) є:                        </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 систематичність (повторюваність) діяння;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наявність сторін - кривдник (булер), потерпілий (жертва булінгу), спостерігачі (за наявності);</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numPr>
          <w:ilvl w:val="0"/>
          <w:numId w:val="2"/>
        </w:numPr>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b/>
          <w:color w:val="333333"/>
          <w:sz w:val="28"/>
          <w:szCs w:val="28"/>
        </w:rPr>
        <w:t>Повноваження директора школи та уповноважених ним осіб щодо запобігання та протидії булінгу</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(цькуванню):</w:t>
      </w:r>
    </w:p>
    <w:p>
      <w:pPr>
        <w:pStyle w:val="Normal"/>
        <w:pageBreakBefore w:val="false"/>
        <w:shd w:val="clear" w:fill="FFFFFF"/>
        <w:spacing w:lineRule="auto" w:line="240" w:before="0" w:after="0"/>
        <w:ind w:left="142" w:right="0"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2.1.</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Директор:</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здійснює контроль за виконанням плану заходів, спрямованих на запобігання та протидію булінгу (цькуванню) в закладі освіти;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pPr>
        <w:pStyle w:val="Normal"/>
        <w:pageBreakBefore w:val="false"/>
        <w:shd w:val="clear" w:fill="FFFFFF"/>
        <w:spacing w:lineRule="auto" w:line="276" w:before="0" w:after="0"/>
        <w:ind w:left="-567"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повідомляє уповноваженим підрозділам органів Національної поліції України та службі у справах дітей про випадки булінгу (цькування) у закладі освіти.</w:t>
      </w:r>
    </w:p>
    <w:p>
      <w:pPr>
        <w:pStyle w:val="Normal"/>
        <w:pageBreakBefore w:val="false"/>
        <w:shd w:val="clear" w:fill="FFFFFF"/>
        <w:spacing w:lineRule="auto" w:line="240" w:before="0" w:after="0"/>
        <w:ind w:left="-567"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2.2</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Заступник директора з виховної роботи:</w:t>
      </w:r>
    </w:p>
    <w:p>
      <w:pPr>
        <w:pStyle w:val="Normal"/>
        <w:pageBreakBefore w:val="false"/>
        <w:shd w:val="clear" w:fill="FFFFFF"/>
        <w:spacing w:lineRule="auto" w:line="240" w:before="0" w:after="0"/>
        <w:ind w:left="-567"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булінгу: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план заходів, спрямованих на запобігання та протидію булінгу (цькуванню) в закладі освіти;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порядок подання та розгляду (з дотриманням конфіденційності) заяв про випадки булінгу (цькування) в закладі освіти;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порядок реагування на доведені випадки булінгу (цькування) в закладі освіти та відповідальність осіб, причетних до булінгу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2.3.</w:t>
      </w: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b/>
          <w:color w:val="333333"/>
          <w:sz w:val="28"/>
          <w:szCs w:val="28"/>
        </w:rPr>
        <w:t>Психологічна служба</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(практичний психолог зокрема):</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забезпечує виконання заходів для надання соціальних та психолого-педагогічних послуг</w:t>
      </w:r>
      <w:r>
        <w:rPr>
          <w:rFonts w:eastAsia="Times New Roman" w:cs="Times New Roman" w:ascii="Times New Roman" w:hAnsi="Times New Roman"/>
          <w:b/>
          <w:color w:val="333333"/>
          <w:sz w:val="28"/>
          <w:szCs w:val="28"/>
        </w:rPr>
        <w:t> </w:t>
      </w:r>
      <w:r>
        <w:rPr>
          <w:rFonts w:eastAsia="Times New Roman" w:cs="Times New Roman" w:ascii="Times New Roman" w:hAnsi="Times New Roman"/>
          <w:color w:val="333333"/>
          <w:sz w:val="28"/>
          <w:szCs w:val="28"/>
        </w:rPr>
        <w:t>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b/>
          <w:color w:val="333333"/>
          <w:sz w:val="28"/>
          <w:szCs w:val="28"/>
        </w:rPr>
        <w:t>2.4. Педагогічні та інші працівники ЗЗСО</w:t>
      </w:r>
      <w:r>
        <w:rPr>
          <w:rFonts w:eastAsia="Times New Roman" w:cs="Times New Roman" w:ascii="Times New Roman" w:hAnsi="Times New Roman"/>
          <w:color w:val="333333"/>
          <w:sz w:val="28"/>
          <w:szCs w:val="28"/>
        </w:rPr>
        <w:t>:</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повідомляють директора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сприяють директору у проведенні розслідування щодо випадків булінгу (цькування);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виконують рішення та рекомендації комісії з розгляду випадків булінгу (цькування) у ЗЗСО.</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3.</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Діяльність</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Комісії з розгляду  випадків булінгу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3.1.Комісія з розгляду- випадків булінгу (цькування) </w:t>
      </w:r>
      <w:r>
        <w:rPr>
          <w:rFonts w:eastAsia="Times New Roman" w:cs="Times New Roman" w:ascii="Times New Roman" w:hAnsi="Times New Roman"/>
          <w:b w:val="false"/>
          <w:bCs w:val="false"/>
          <w:color w:val="333333"/>
          <w:sz w:val="28"/>
          <w:szCs w:val="28"/>
        </w:rPr>
        <w:t>в опорному закладі “Деражненський ліцей” (</w:t>
      </w:r>
      <w:r>
        <w:rPr>
          <w:rFonts w:eastAsia="Times New Roman" w:cs="Times New Roman" w:ascii="Times New Roman" w:hAnsi="Times New Roman"/>
          <w:color w:val="333333"/>
          <w:sz w:val="28"/>
          <w:szCs w:val="28"/>
        </w:rPr>
        <w:t>далі - Комісія) утворюється наказом директора та скликається для прийняття рішення за результатами розслідування про факти булінгу (цькування).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3.2.В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3.3.До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булера та інші заінтересовані особи. ЗЗСО має право залучати зовнішніх експертів та юристів до розгляду справи на умовах закону України «Про захист персональних даних».</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3.4.Комісія діє відповідно до Порядку подання та розгляду (з дотриманням конфіденційності) заяв про випадки булінгу (цькування) у ЗЗСО, Порядку реагування на доведені випадки булінгу (цькування) та відповідальність осіб, причетних до булінгу (цькування).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3.5. Засідання Комісії скликається директором для розгляду та неупередженого з'ясування обставин випадків булінгу (цькування) відповідно до заяв, що надійшли з цього приводу.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3.6.У разі, якщо Комісія не кваліфікує випадок як булінг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3.7.Рішення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булінгу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4. Порядок подання та розгляду</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(з дотриманням конфіденційності) заяв про випадки булінгу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4.1.Учасники освітнього процесу подають заяву директору ЗЗСО про випадок булінгу по відношенню до дитини або будь-якого іншого учасника освітнього процесу;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4.2.Директор розглядає заяву в день її подання та видає рішення про проведення розслідування;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4.3.Проводиться повне та неупереджене розслідування щодо випадків булінгу (цькування) з залученням осіб, від яких отримано інформацію;</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4.4. Директор для прийняття рішення за результатами розслідування наказом створює комісію з розгляду випадку булінгу (цькування) та скликає засідання для прийняття рішення за результатами розслідування та виконання відповідних заходів реагування;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4.5.Рішення Комісії реєструється в окремому журналі, зберігається в паперовому вигляді з оригіналами підписів всіх членів Комісії;</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5. Порядок реагування на доведені випадки булінгу</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(цькування) в ЗЗСО та відповідальність осіб, причетних до булінгу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5.1.У разі підтвердження факту вчинення булінгу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булінгу (цькування);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5.2.Виконується рішення та рекомендації Комісії;</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5.3.Надаються соціальні та психолого-педагогічні послуги здобувачам освіти, які вчинили булінг, стали його свідками або постраждали від булінгу;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6. Права та обов'язки учасників освітнього процесу:</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6.1</w:t>
      </w:r>
      <w:r>
        <w:rPr>
          <w:rFonts w:eastAsia="Times New Roman" w:cs="Times New Roman" w:ascii="Times New Roman" w:hAnsi="Times New Roman"/>
          <w:color w:val="333333"/>
          <w:sz w:val="28"/>
          <w:szCs w:val="28"/>
        </w:rPr>
        <w:t>.</w:t>
      </w:r>
      <w:r>
        <w:rPr>
          <w:rFonts w:eastAsia="Times New Roman" w:cs="Times New Roman" w:ascii="Times New Roman" w:hAnsi="Times New Roman"/>
          <w:b/>
          <w:color w:val="333333"/>
          <w:sz w:val="28"/>
          <w:szCs w:val="28"/>
        </w:rPr>
        <w:t>Здобувачі освіти мають право на:</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якісні освітні послуги;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свободу творчої, спортивної, оздоровчої, культурної, просвітницької, наукової і науково-технічної діяльності тощо;</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особисту або через своїх законних представників участь у громадському самоврядуванні та управлінні ЗЗСО;</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безпечні та нешкідливі умови навчання і праці;</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повагу людської гідності;</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захист під час освітнього процесу від приниження честі та гідності, будь- яких форм насильства та експлуатації, булінгу (цькування), дискримінації за за будь-якою ознакою, пропаганди та агітації, що завдають шкоди здоров'ю здобувачам освіти;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6.2.</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Здобувачі освіти зобов'язані:</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поважати гідність, права, свободи та законні інтереси всіх учасників освітнього процесу, дотримуватися етичних норм;</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відповідально та дбайливо ставитися до власного здоров'я, здоров'я оточуючих, довкілля;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дотримуватися установчих документів, правил внутрішнього розпорядку ЗЗСО;</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повідомляти керівництво закладу освіти про факти булінгу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6.3</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Працівники, які залучаються до освітнього процесу:</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Мають право на:</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захист професійної честі і гідності;</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6.4.</w:t>
      </w: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b/>
          <w:color w:val="333333"/>
          <w:sz w:val="28"/>
          <w:szCs w:val="28"/>
        </w:rPr>
        <w:t>Зобов'язані:</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дотримуватися педагогічної етики;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поважати гідність, права, свободи і законні інтереси всіх учасників освітнього процесу;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додержуватися установчих документів та правил внутрішнього розпорядку закладу освіти, виконувати свої посадові обов'язки;</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повідомляти директора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6.5</w:t>
      </w: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b/>
          <w:color w:val="333333"/>
          <w:sz w:val="28"/>
          <w:szCs w:val="28"/>
        </w:rPr>
        <w:t>Батьки здобувачів освіти:</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мають право:</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 отримувати інформацію про діяльність ЗЗСО,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pPr>
        <w:pStyle w:val="Normal"/>
        <w:pageBreakBefore w:val="false"/>
        <w:shd w:val="clear" w:fill="FFFFFF"/>
        <w:spacing w:lineRule="auto" w:line="276" w:before="0" w:after="0"/>
        <w:ind w:left="-567" w:right="0"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подавати директору центру заяву про випадки булінгу (цькування) стосовно дитини або будь-якого іншого учасника освітнього процесу;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40" w:before="0" w:after="0"/>
        <w:ind w:left="-567" w:right="0" w:firstLine="141"/>
        <w:jc w:val="both"/>
        <w:rPr>
          <w:rFonts w:ascii="Times New Roman" w:hAnsi="Times New Roman" w:eastAsia="Times New Roman" w:cs="Times New Roman"/>
          <w:b/>
          <w:b/>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зобов'язані:</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widowControl/>
        <w:shd w:val="clear" w:fill="FFFFFF"/>
        <w:bidi w:val="0"/>
        <w:spacing w:lineRule="auto" w:line="276" w:before="0" w:after="0"/>
        <w:ind w:left="-567" w:right="0" w:firstLine="567"/>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поважати гідність, права, свободи і законні інтереси дитини та інших учасників освітнього процесу;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дбати про фізичне і психічне здоров'я дитини, сприяти розвитку її здібностей, формувати навички здорового способу життя;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сприяти директору ЗЗСО у проведенні розслідування щодо випадків булінгу (цькування);</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b/>
          <w:b/>
          <w:color w:val="333333"/>
          <w:sz w:val="28"/>
          <w:szCs w:val="28"/>
        </w:rPr>
      </w:pPr>
      <w:r>
        <w:rPr>
          <w:rFonts w:eastAsia="Times New Roman" w:cs="Times New Roman" w:ascii="Times New Roman" w:hAnsi="Times New Roman"/>
          <w:b/>
          <w:color w:val="333333"/>
          <w:sz w:val="28"/>
          <w:szCs w:val="28"/>
        </w:rPr>
        <w:t>7.</w:t>
      </w:r>
      <w:r>
        <w:rPr>
          <w:rFonts w:eastAsia="Times New Roman" w:cs="Times New Roman" w:ascii="Times New Roman" w:hAnsi="Times New Roman"/>
          <w:color w:val="333333"/>
          <w:sz w:val="28"/>
          <w:szCs w:val="28"/>
        </w:rPr>
        <w:t> </w:t>
      </w:r>
      <w:r>
        <w:rPr>
          <w:rFonts w:eastAsia="Times New Roman" w:cs="Times New Roman" w:ascii="Times New Roman" w:hAnsi="Times New Roman"/>
          <w:b/>
          <w:color w:val="333333"/>
          <w:sz w:val="28"/>
          <w:szCs w:val="28"/>
        </w:rPr>
        <w:t>Прикінцеві положення</w:t>
      </w:r>
    </w:p>
    <w:p>
      <w:pPr>
        <w:pStyle w:val="Normal"/>
        <w:pageBreakBefore w:val="false"/>
        <w:shd w:val="clear" w:fill="FFFFFF"/>
        <w:spacing w:lineRule="auto" w:line="240"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pageBreakBefore w:val="false"/>
        <w:shd w:val="clear" w:fill="FFFFFF"/>
        <w:spacing w:lineRule="auto" w:line="276" w:before="0" w:after="0"/>
        <w:ind w:left="-567" w:right="0" w:hanging="0"/>
        <w:jc w:val="both"/>
        <w:rPr>
          <w:rFonts w:ascii="Times New Roman" w:hAnsi="Times New Roman" w:eastAsia="Times New Roman" w:cs="Times New Roman"/>
          <w:color w:val="333333"/>
          <w:sz w:val="28"/>
          <w:szCs w:val="28"/>
        </w:rPr>
      </w:pPr>
      <w:bookmarkStart w:id="0" w:name="_heading=h.gjdgxs"/>
      <w:bookmarkEnd w:id="0"/>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 xml:space="preserve">7.1.Положення про порядок розгляду випадків булінгу (цькування) </w:t>
      </w:r>
      <w:r>
        <w:rPr>
          <w:rFonts w:eastAsia="Times New Roman" w:cs="Times New Roman" w:ascii="Times New Roman" w:hAnsi="Times New Roman"/>
          <w:b w:val="false"/>
          <w:bCs w:val="false"/>
          <w:color w:val="333333"/>
          <w:sz w:val="28"/>
          <w:szCs w:val="28"/>
        </w:rPr>
        <w:t> в опорному закладі “Деражненський ліцей”</w:t>
      </w:r>
      <w:r>
        <w:rPr>
          <w:rFonts w:eastAsia="Times New Roman" w:cs="Times New Roman" w:ascii="Times New Roman" w:hAnsi="Times New Roman"/>
          <w:color w:val="333333"/>
          <w:sz w:val="28"/>
          <w:szCs w:val="28"/>
        </w:rPr>
        <w:t xml:space="preserve"> (далі - Положення) затверджується наказом директора і є обов'язковими до виконання усіма учасниками освітнього процесу.  </w:t>
      </w:r>
    </w:p>
    <w:p>
      <w:pPr>
        <w:pStyle w:val="Normal"/>
        <w:pageBreakBefore w:val="false"/>
        <w:shd w:val="clear" w:fill="FFFFFF"/>
        <w:spacing w:lineRule="auto" w:line="276" w:before="0" w:after="0"/>
        <w:ind w:left="-567" w:right="0"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 xml:space="preserve">7.2. Учасники освітнього процесу мають знати Положення про порядок розгляду випадків булінгу (цькування) </w:t>
      </w:r>
      <w:r>
        <w:rPr>
          <w:rFonts w:eastAsia="Times New Roman" w:cs="Times New Roman" w:ascii="Times New Roman" w:hAnsi="Times New Roman"/>
          <w:b w:val="false"/>
          <w:bCs w:val="false"/>
          <w:color w:val="333333"/>
          <w:sz w:val="28"/>
          <w:szCs w:val="28"/>
        </w:rPr>
        <w:t>в опорному закладі “Деражненський ліцей”.                                                              </w:t>
      </w:r>
      <w:r>
        <w:rPr>
          <w:rFonts w:eastAsia="Times New Roman" w:cs="Times New Roman" w:ascii="Times New Roman" w:hAnsi="Times New Roman"/>
          <w:color w:val="333333"/>
          <w:sz w:val="28"/>
          <w:szCs w:val="28"/>
        </w:rPr>
        <w:t>                                     </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7.3.Незнання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7.4.Прийняття принципів і норм Положення  засвідчується підписами членів трудового колективу ЗЗСО.</w:t>
      </w:r>
    </w:p>
    <w:p>
      <w:pPr>
        <w:pStyle w:val="Normal"/>
        <w:pageBreakBefore w:val="false"/>
        <w:shd w:val="clear" w:fill="FFFFFF"/>
        <w:spacing w:lineRule="auto" w:line="276" w:before="0" w:after="0"/>
        <w:ind w:left="-567" w:right="0" w:firstLine="709"/>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7.5.Зміни та доповнення до Положення вносяться наказом директора.</w:t>
      </w:r>
    </w:p>
    <w:p>
      <w:pPr>
        <w:pStyle w:val="Normal"/>
        <w:pageBreakBefore w:val="false"/>
        <w:spacing w:lineRule="auto" w:line="240" w:before="0" w:after="0"/>
        <w:ind w:left="-567" w:right="0" w:firstLine="709"/>
        <w:jc w:val="both"/>
        <w:rPr>
          <w:rFonts w:ascii="Times New Roman" w:hAnsi="Times New Roman" w:eastAsia="Times New Roman" w:cs="Times New Roman"/>
        </w:rPr>
      </w:pPr>
      <w:r>
        <w:rPr/>
      </w:r>
    </w:p>
    <w:sectPr>
      <w:type w:val="continuous"/>
      <w:pgSz w:w="11906" w:h="16838"/>
      <w:pgMar w:left="1701" w:right="850" w:gutter="0" w:header="0" w:top="1134" w:footer="0" w:bottom="1134"/>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lvl w:ilvl="0">
      <w:start w:val="2"/>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uk-UA" w:eastAsia="zh-CN" w:bidi="hi-IN"/>
      </w:rPr>
    </w:rPrDefault>
    <w:pPrDefault>
      <w:pPr>
        <w:suppressAutoHyphens w:val="true"/>
      </w:pPr>
    </w:pPrDefault>
  </w:docDefaults>
  <w:style w:type="paragraph" w:styleId="Normal" w:default="1">
    <w:name w:val="Normal"/>
    <w:qFormat/>
    <w:rsid w:val="007578d7"/>
    <w:pPr>
      <w:widowControl/>
      <w:suppressAutoHyphens w:val="true"/>
      <w:bidi w:val="0"/>
      <w:spacing w:lineRule="auto" w:line="259" w:before="0" w:after="160"/>
      <w:jc w:val="left"/>
    </w:pPr>
    <w:rPr>
      <w:rFonts w:ascii="Calibri" w:hAnsi="Calibri" w:eastAsia="Calibri" w:cs="Calibri"/>
      <w:color w:val="auto"/>
      <w:kern w:val="0"/>
      <w:sz w:val="22"/>
      <w:szCs w:val="22"/>
      <w:lang w:val="uk-UA" w:eastAsia="zh-CN" w:bidi="hi-IN"/>
    </w:rPr>
  </w:style>
  <w:style w:type="paragraph" w:styleId="1">
    <w:name w:val="Heading 1"/>
    <w:basedOn w:val="LOnormal"/>
    <w:next w:val="LOnormal"/>
    <w:qFormat/>
    <w:pPr>
      <w:keepNext w:val="true"/>
      <w:keepLines/>
      <w:pageBreakBefore w:val="false"/>
      <w:spacing w:lineRule="auto" w:line="240" w:before="480" w:after="120"/>
    </w:pPr>
    <w:rPr>
      <w:b/>
      <w:sz w:val="48"/>
      <w:szCs w:val="48"/>
    </w:rPr>
  </w:style>
  <w:style w:type="paragraph" w:styleId="2">
    <w:name w:val="Heading 2"/>
    <w:basedOn w:val="LOnormal"/>
    <w:next w:val="LOnormal"/>
    <w:qFormat/>
    <w:pPr>
      <w:keepNext w:val="true"/>
      <w:keepLines/>
      <w:pageBreakBefore w:val="false"/>
      <w:spacing w:lineRule="auto" w:line="240" w:before="360" w:after="80"/>
    </w:pPr>
    <w:rPr>
      <w:b/>
      <w:sz w:val="36"/>
      <w:szCs w:val="36"/>
    </w:rPr>
  </w:style>
  <w:style w:type="paragraph" w:styleId="3">
    <w:name w:val="Heading 3"/>
    <w:basedOn w:val="LOnormal"/>
    <w:next w:val="LOnormal"/>
    <w:qFormat/>
    <w:pPr>
      <w:keepNext w:val="true"/>
      <w:keepLines/>
      <w:pageBreakBefore w:val="false"/>
      <w:spacing w:lineRule="auto" w:line="240" w:before="280" w:after="80"/>
    </w:pPr>
    <w:rPr>
      <w:b/>
      <w:sz w:val="28"/>
      <w:szCs w:val="28"/>
    </w:rPr>
  </w:style>
  <w:style w:type="paragraph" w:styleId="4">
    <w:name w:val="Heading 4"/>
    <w:basedOn w:val="LOnormal"/>
    <w:next w:val="LOnormal"/>
    <w:qFormat/>
    <w:pPr>
      <w:keepNext w:val="true"/>
      <w:keepLines/>
      <w:pageBreakBefore w:val="false"/>
      <w:spacing w:lineRule="auto" w:line="240" w:before="240" w:after="40"/>
    </w:pPr>
    <w:rPr>
      <w:b/>
      <w:sz w:val="24"/>
      <w:szCs w:val="24"/>
    </w:rPr>
  </w:style>
  <w:style w:type="paragraph" w:styleId="5">
    <w:name w:val="Heading 5"/>
    <w:basedOn w:val="LOnormal"/>
    <w:next w:val="LOnormal"/>
    <w:qFormat/>
    <w:pPr>
      <w:keepNext w:val="true"/>
      <w:keepLines/>
      <w:pageBreakBefore w:val="false"/>
      <w:spacing w:lineRule="auto" w:line="240" w:before="220" w:after="40"/>
    </w:pPr>
    <w:rPr>
      <w:b/>
      <w:sz w:val="22"/>
      <w:szCs w:val="22"/>
    </w:rPr>
  </w:style>
  <w:style w:type="paragraph" w:styleId="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4"/>
    <w:uiPriority w:val="99"/>
    <w:semiHidden/>
    <w:qFormat/>
    <w:rsid w:val="0029483f"/>
    <w:rPr>
      <w:rFonts w:ascii="Tahoma" w:hAnsi="Tahoma" w:cs="Tahoma"/>
      <w:sz w:val="16"/>
      <w:szCs w:val="16"/>
      <w:lang w:val="uk-UA"/>
    </w:rPr>
  </w:style>
  <w:style w:type="paragraph" w:styleId="Style9">
    <w:name w:val="Заголовок"/>
    <w:basedOn w:val="Normal"/>
    <w:next w:val="Style10"/>
    <w:qFormat/>
    <w:pPr>
      <w:keepNext w:val="true"/>
      <w:spacing w:before="240" w:after="120"/>
    </w:pPr>
    <w:rPr>
      <w:rFonts w:ascii="Liberation Sans" w:hAnsi="Liberation Sans" w:eastAsia="Microsoft YaHei"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Покажчик"/>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uk-UA" w:eastAsia="zh-CN" w:bidi="hi-IN"/>
    </w:rPr>
  </w:style>
  <w:style w:type="paragraph" w:styleId="Style14">
    <w:name w:val="Title"/>
    <w:basedOn w:val="LOnormal"/>
    <w:next w:val="LOnormal"/>
    <w:qFormat/>
    <w:pPr>
      <w:keepNext w:val="true"/>
      <w:keepLines/>
      <w:pageBreakBefore w:val="false"/>
      <w:spacing w:lineRule="auto" w:line="240" w:before="480" w:after="120"/>
    </w:pPr>
    <w:rPr>
      <w:b/>
      <w:sz w:val="72"/>
      <w:szCs w:val="72"/>
    </w:rPr>
  </w:style>
  <w:style w:type="paragraph" w:styleId="ListParagraph">
    <w:name w:val="List Paragraph"/>
    <w:basedOn w:val="Normal"/>
    <w:uiPriority w:val="34"/>
    <w:qFormat/>
    <w:rsid w:val="0081485d"/>
    <w:pPr>
      <w:spacing w:before="0" w:after="160"/>
      <w:ind w:left="720" w:hanging="0"/>
      <w:contextualSpacing/>
    </w:pPr>
    <w:rPr/>
  </w:style>
  <w:style w:type="paragraph" w:styleId="BalloonText">
    <w:name w:val="Balloon Text"/>
    <w:basedOn w:val="Normal"/>
    <w:link w:val="a5"/>
    <w:uiPriority w:val="99"/>
    <w:semiHidden/>
    <w:unhideWhenUsed/>
    <w:qFormat/>
    <w:rsid w:val="0029483f"/>
    <w:pPr>
      <w:spacing w:lineRule="auto" w:line="240" w:before="0" w:after="0"/>
    </w:pPr>
    <w:rPr>
      <w:rFonts w:ascii="Tahoma" w:hAnsi="Tahoma" w:cs="Tahoma"/>
      <w:sz w:val="16"/>
      <w:szCs w:val="16"/>
    </w:rPr>
  </w:style>
  <w:style w:type="paragraph" w:styleId="Style15">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B0yEW1nR6usa9SIt3ZLbjZtwAbQ==">CgMxLjAyCGguZ2pkZ3hzOAByITFqU0hKUVczRElkclpSdEs4aUNhREZqamYwR2FoZFFiUw==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334</TotalTime>
  <Application>LibreOffice/7.2.2.2$Windows_X86_64 LibreOffice_project/02b2acce88a210515b4a5bb2e46cbfb63fe97d56</Application>
  <AppVersion>15.0000</AppVersion>
  <Pages>8</Pages>
  <Words>2045</Words>
  <Characters>14233</Characters>
  <CharactersWithSpaces>16467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2020-07-03T08:13:00Z</dcterms:created>
  <dc:creator>Samsung</dc:creator>
  <dc:description/>
  <dc:language>uk-UA</dc:language>
  <cp:lastModifiedBy/>
  <dcterms:modified xsi:type="dcterms:W3CDTF">2024-03-04T23:57:00Z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