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3pt;margin-top:.45pt;width:42.2pt;height:57.1pt;z-index:251660288">
            <v:imagedata r:id="rId4" o:title=""/>
          </v:shape>
          <o:OLEObject Type="Embed" ProgID="PBrush" ShapeID="_x0000_s1026" DrawAspect="Content" ObjectID="_1650875550" r:id="rId5"/>
        </w:pict>
      </w: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pict>
          <v:shape id="_x0000_i1025" type="#_x0000_t75" alt="" style="width:24pt;height:24pt;mso-wrap-distance-left:3.75pt;mso-wrap-distance-right:3.75pt"/>
        </w:pict>
      </w:r>
    </w:p>
    <w:p w:rsidR="005B6330" w:rsidRPr="005B6330" w:rsidRDefault="005B6330" w:rsidP="005B6330">
      <w:pPr>
        <w:shd w:val="clear" w:color="auto" w:fill="FFFFFF"/>
        <w:spacing w:after="0" w:line="240" w:lineRule="auto"/>
        <w:jc w:val="both"/>
        <w:outlineLvl w:val="1"/>
        <w:rPr>
          <w:rFonts w:ascii="inherit" w:eastAsia="Times New Roman" w:hAnsi="inherit"/>
          <w:b/>
          <w:bCs/>
          <w:color w:val="293A55"/>
          <w:sz w:val="40"/>
          <w:szCs w:val="40"/>
          <w:lang w:val="uk-UA" w:eastAsia="ru-RU"/>
        </w:rPr>
      </w:pPr>
    </w:p>
    <w:p w:rsidR="005B6330" w:rsidRPr="005B6330" w:rsidRDefault="005B6330" w:rsidP="005B6330">
      <w:pPr>
        <w:shd w:val="clear" w:color="auto" w:fill="FFFFFF"/>
        <w:spacing w:after="0" w:line="240" w:lineRule="auto"/>
        <w:jc w:val="both"/>
        <w:outlineLvl w:val="1"/>
        <w:rPr>
          <w:rFonts w:ascii="inherit" w:eastAsia="Times New Roman" w:hAnsi="inherit"/>
          <w:b/>
          <w:bCs/>
          <w:color w:val="293A55"/>
          <w:sz w:val="40"/>
          <w:szCs w:val="40"/>
          <w:lang w:val="uk-UA" w:eastAsia="ru-RU"/>
        </w:rPr>
      </w:pPr>
    </w:p>
    <w:p w:rsidR="005B6330" w:rsidRPr="005B6330" w:rsidRDefault="005B6330" w:rsidP="005B6330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/>
          <w:b/>
          <w:bCs/>
          <w:color w:val="293A55"/>
          <w:sz w:val="40"/>
          <w:szCs w:val="40"/>
          <w:lang w:val="uk-UA" w:eastAsia="ru-RU"/>
        </w:rPr>
      </w:pPr>
      <w:r w:rsidRPr="005B6330">
        <w:rPr>
          <w:rFonts w:ascii="inherit" w:eastAsia="Times New Roman" w:hAnsi="inherit"/>
          <w:b/>
          <w:bCs/>
          <w:color w:val="293A55"/>
          <w:sz w:val="40"/>
          <w:szCs w:val="40"/>
          <w:lang w:val="uk-UA" w:eastAsia="ru-RU"/>
        </w:rPr>
        <w:t>МІНІСТЕРСТВО ОСВІТИ І НАУКИ УКРАЇНИ</w:t>
      </w:r>
    </w:p>
    <w:p w:rsidR="005B6330" w:rsidRPr="005B6330" w:rsidRDefault="005B6330" w:rsidP="005B6330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/>
          <w:b/>
          <w:bCs/>
          <w:color w:val="293A55"/>
          <w:sz w:val="40"/>
          <w:szCs w:val="40"/>
          <w:lang w:val="uk-UA" w:eastAsia="ru-RU"/>
        </w:rPr>
      </w:pPr>
      <w:r w:rsidRPr="005B6330">
        <w:rPr>
          <w:rFonts w:ascii="inherit" w:eastAsia="Times New Roman" w:hAnsi="inherit"/>
          <w:b/>
          <w:bCs/>
          <w:color w:val="293A55"/>
          <w:sz w:val="40"/>
          <w:szCs w:val="40"/>
          <w:lang w:val="uk-UA" w:eastAsia="ru-RU"/>
        </w:rPr>
        <w:t>НАКАЗ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4"/>
        <w:gridCol w:w="2807"/>
        <w:gridCol w:w="3274"/>
      </w:tblGrid>
      <w:tr w:rsidR="005B6330" w:rsidRPr="005B6330" w:rsidTr="005B6330"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center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b/>
                <w:bCs/>
                <w:color w:val="auto"/>
                <w:lang w:val="uk-UA" w:eastAsia="ru-RU"/>
              </w:rPr>
              <w:t>30.01.2015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center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b/>
                <w:bCs/>
                <w:color w:val="auto"/>
                <w:lang w:val="uk-UA" w:eastAsia="ru-RU"/>
              </w:rPr>
              <w:t>м. Київ</w:t>
            </w:r>
          </w:p>
        </w:tc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center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b/>
                <w:bCs/>
                <w:color w:val="auto"/>
                <w:lang w:val="uk-UA" w:eastAsia="ru-RU"/>
              </w:rPr>
              <w:t>N 68</w:t>
            </w:r>
          </w:p>
        </w:tc>
      </w:tr>
    </w:tbl>
    <w:p w:rsidR="005B6330" w:rsidRPr="005B6330" w:rsidRDefault="005B6330" w:rsidP="005B6330">
      <w:pPr>
        <w:shd w:val="clear" w:color="auto" w:fill="FFFFFF"/>
        <w:spacing w:after="0" w:line="378" w:lineRule="atLeast"/>
        <w:jc w:val="right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b/>
          <w:bCs/>
          <w:color w:val="293A55"/>
          <w:sz w:val="27"/>
          <w:szCs w:val="27"/>
          <w:lang w:val="uk-UA" w:eastAsia="ru-RU"/>
        </w:rPr>
        <w:t>Зареєстровано в Міністерстві юстиції України</w:t>
      </w:r>
      <w:r w:rsidRPr="005B6330">
        <w:rPr>
          <w:rFonts w:ascii="IBM Plex Serif" w:eastAsia="Times New Roman" w:hAnsi="IBM Plex Serif"/>
          <w:b/>
          <w:bCs/>
          <w:color w:val="293A55"/>
          <w:sz w:val="27"/>
          <w:szCs w:val="27"/>
          <w:lang w:val="uk-UA" w:eastAsia="ru-RU"/>
        </w:rPr>
        <w:br/>
        <w:t>27 березня 2015 р. за N 337/26782</w:t>
      </w:r>
    </w:p>
    <w:p w:rsidR="005B6330" w:rsidRPr="005B6330" w:rsidRDefault="005B6330" w:rsidP="005B6330">
      <w:pPr>
        <w:shd w:val="clear" w:color="auto" w:fill="FFFFFF"/>
        <w:spacing w:after="0" w:line="240" w:lineRule="auto"/>
        <w:jc w:val="both"/>
        <w:outlineLvl w:val="1"/>
        <w:rPr>
          <w:rFonts w:ascii="inherit" w:eastAsia="Times New Roman" w:hAnsi="inherit"/>
          <w:b/>
          <w:bCs/>
          <w:color w:val="293A55"/>
          <w:sz w:val="40"/>
          <w:szCs w:val="40"/>
          <w:lang w:val="uk-UA" w:eastAsia="ru-RU"/>
        </w:rPr>
      </w:pPr>
      <w:r w:rsidRPr="005B6330">
        <w:rPr>
          <w:rFonts w:ascii="inherit" w:eastAsia="Times New Roman" w:hAnsi="inherit"/>
          <w:b/>
          <w:bCs/>
          <w:color w:val="293A55"/>
          <w:sz w:val="40"/>
          <w:szCs w:val="40"/>
          <w:lang w:val="uk-UA" w:eastAsia="ru-RU"/>
        </w:rPr>
        <w:t>Про затвердження Положення про учнівські навчально-дослідні земельні ділянки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Відповідно до</w:t>
      </w:r>
      <w:r w:rsidRPr="005B6330">
        <w:rPr>
          <w:rFonts w:ascii="IBM Plex Serif" w:eastAsia="Times New Roman" w:hAnsi="IBM Plex Serif"/>
          <w:color w:val="293A55"/>
          <w:sz w:val="27"/>
          <w:lang w:val="uk-UA" w:eastAsia="ru-RU"/>
        </w:rPr>
        <w:t> </w:t>
      </w:r>
      <w:hyperlink r:id="rId6" w:tgtFrame="_blank" w:history="1">
        <w:r w:rsidRPr="005B6330">
          <w:rPr>
            <w:rFonts w:ascii="IBM Plex Serif" w:eastAsia="Times New Roman" w:hAnsi="IBM Plex Serif"/>
            <w:color w:val="0000FF"/>
            <w:sz w:val="27"/>
            <w:lang w:val="uk-UA" w:eastAsia="ru-RU"/>
          </w:rPr>
          <w:t>статей 4</w:t>
        </w:r>
      </w:hyperlink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,</w:t>
      </w:r>
      <w:r w:rsidRPr="005B6330">
        <w:rPr>
          <w:rFonts w:ascii="IBM Plex Serif" w:eastAsia="Times New Roman" w:hAnsi="IBM Plex Serif"/>
          <w:color w:val="293A55"/>
          <w:sz w:val="27"/>
          <w:lang w:val="uk-UA" w:eastAsia="ru-RU"/>
        </w:rPr>
        <w:t> </w:t>
      </w:r>
      <w:hyperlink r:id="rId7" w:tgtFrame="_blank" w:history="1">
        <w:r w:rsidRPr="005B6330">
          <w:rPr>
            <w:rFonts w:ascii="IBM Plex Serif" w:eastAsia="Times New Roman" w:hAnsi="IBM Plex Serif"/>
            <w:color w:val="0000FF"/>
            <w:sz w:val="27"/>
            <w:lang w:val="uk-UA" w:eastAsia="ru-RU"/>
          </w:rPr>
          <w:t>6</w:t>
        </w:r>
      </w:hyperlink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,</w:t>
      </w:r>
      <w:r w:rsidRPr="005B6330">
        <w:rPr>
          <w:rFonts w:ascii="IBM Plex Serif" w:eastAsia="Times New Roman" w:hAnsi="IBM Plex Serif"/>
          <w:color w:val="293A55"/>
          <w:sz w:val="27"/>
          <w:lang w:val="uk-UA" w:eastAsia="ru-RU"/>
        </w:rPr>
        <w:t> </w:t>
      </w:r>
      <w:hyperlink r:id="rId8" w:tgtFrame="_blank" w:history="1">
        <w:r w:rsidRPr="005B6330">
          <w:rPr>
            <w:rFonts w:ascii="IBM Plex Serif" w:eastAsia="Times New Roman" w:hAnsi="IBM Plex Serif"/>
            <w:color w:val="0000FF"/>
            <w:sz w:val="27"/>
            <w:lang w:val="uk-UA" w:eastAsia="ru-RU"/>
          </w:rPr>
          <w:t>15</w:t>
        </w:r>
      </w:hyperlink>
      <w:r w:rsidRPr="005B6330">
        <w:rPr>
          <w:rFonts w:ascii="IBM Plex Serif" w:eastAsia="Times New Roman" w:hAnsi="IBM Plex Serif"/>
          <w:color w:val="293A55"/>
          <w:sz w:val="27"/>
          <w:lang w:val="uk-UA" w:eastAsia="ru-RU"/>
        </w:rPr>
        <w:t> </w:t>
      </w: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і</w:t>
      </w:r>
      <w:r w:rsidRPr="005B6330">
        <w:rPr>
          <w:rFonts w:ascii="IBM Plex Serif" w:eastAsia="Times New Roman" w:hAnsi="IBM Plex Serif"/>
          <w:color w:val="293A55"/>
          <w:sz w:val="27"/>
          <w:lang w:val="uk-UA" w:eastAsia="ru-RU"/>
        </w:rPr>
        <w:t> </w:t>
      </w:r>
      <w:hyperlink r:id="rId9" w:tgtFrame="_blank" w:history="1">
        <w:r w:rsidRPr="005B6330">
          <w:rPr>
            <w:rFonts w:ascii="IBM Plex Serif" w:eastAsia="Times New Roman" w:hAnsi="IBM Plex Serif"/>
            <w:color w:val="0000FF"/>
            <w:sz w:val="27"/>
            <w:lang w:val="uk-UA" w:eastAsia="ru-RU"/>
          </w:rPr>
          <w:t>18 Закону України "Про позашкільну освіту"</w:t>
        </w:r>
      </w:hyperlink>
      <w:r w:rsidRPr="005B6330">
        <w:rPr>
          <w:rFonts w:ascii="IBM Plex Serif" w:eastAsia="Times New Roman" w:hAnsi="IBM Plex Serif"/>
          <w:color w:val="293A55"/>
          <w:sz w:val="27"/>
          <w:lang w:val="uk-UA" w:eastAsia="ru-RU"/>
        </w:rPr>
        <w:t> </w:t>
      </w: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та підпункту 11 пункту 4 Положення про Міністерство освіти і науки України, затвердженого</w:t>
      </w:r>
      <w:r w:rsidRPr="005B6330">
        <w:rPr>
          <w:rFonts w:ascii="IBM Plex Serif" w:eastAsia="Times New Roman" w:hAnsi="IBM Plex Serif"/>
          <w:color w:val="293A55"/>
          <w:sz w:val="27"/>
          <w:lang w:val="uk-UA" w:eastAsia="ru-RU"/>
        </w:rPr>
        <w:t> </w:t>
      </w:r>
      <w:hyperlink r:id="rId10" w:tgtFrame="_blank" w:history="1">
        <w:r w:rsidRPr="005B6330">
          <w:rPr>
            <w:rFonts w:ascii="IBM Plex Serif" w:eastAsia="Times New Roman" w:hAnsi="IBM Plex Serif"/>
            <w:color w:val="0000FF"/>
            <w:sz w:val="27"/>
            <w:lang w:val="uk-UA" w:eastAsia="ru-RU"/>
          </w:rPr>
          <w:t>постановою Кабінету Міністрів України від 16 жовтня 2014 року N 630</w:t>
        </w:r>
      </w:hyperlink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, з метою сприяння професійному самовизначенню молоді, здійсненню нею науково-дослідницької та природоохоронної діяльності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b/>
          <w:bCs/>
          <w:color w:val="293A55"/>
          <w:sz w:val="27"/>
          <w:szCs w:val="27"/>
          <w:lang w:val="uk-UA" w:eastAsia="ru-RU"/>
        </w:rPr>
        <w:t>НАКАЗУЮ: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1. Затвердити Положення про учнівські навчально-дослідні земельні ділянки, що додається.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2. Департаменту професійно-технічної освіти (Супрун В. В.) подати цей наказ на державну реєстрацію до Міністерства юстиції України.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3. Цей наказ набирає чинності з дня його офіційного опублікування.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4. Контроль за виконанням цього наказу покласти на заступника Міністра Полянського П. Б.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 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77"/>
        <w:gridCol w:w="4678"/>
      </w:tblGrid>
      <w:tr w:rsidR="005B6330" w:rsidRPr="005B6330" w:rsidTr="005B6330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b/>
                <w:bCs/>
                <w:color w:val="auto"/>
                <w:lang w:val="uk-UA" w:eastAsia="ru-RU"/>
              </w:rPr>
              <w:t>Міністр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b/>
                <w:bCs/>
                <w:color w:val="auto"/>
                <w:lang w:val="uk-UA" w:eastAsia="ru-RU"/>
              </w:rPr>
              <w:t>С. М. Квіт</w:t>
            </w:r>
          </w:p>
        </w:tc>
      </w:tr>
      <w:tr w:rsidR="005B6330" w:rsidRPr="005B6330" w:rsidTr="005B6330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b/>
                <w:bCs/>
                <w:color w:val="auto"/>
                <w:lang w:val="uk-UA" w:eastAsia="ru-RU"/>
              </w:rPr>
              <w:t>ПОГОДЖЕНО: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 </w:t>
            </w:r>
          </w:p>
        </w:tc>
      </w:tr>
      <w:tr w:rsidR="005B6330" w:rsidRPr="005B6330" w:rsidTr="005B6330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b/>
                <w:bCs/>
                <w:color w:val="auto"/>
                <w:lang w:val="uk-UA" w:eastAsia="ru-RU"/>
              </w:rPr>
              <w:t>Перший заступник Міністра аграрної</w:t>
            </w:r>
            <w:r w:rsidRPr="005B6330">
              <w:rPr>
                <w:rFonts w:eastAsia="Times New Roman"/>
                <w:b/>
                <w:bCs/>
                <w:color w:val="auto"/>
                <w:lang w:val="uk-UA" w:eastAsia="ru-RU"/>
              </w:rPr>
              <w:br/>
              <w:t>політики та продовольства 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b/>
                <w:bCs/>
                <w:color w:val="auto"/>
                <w:lang w:val="uk-UA" w:eastAsia="ru-RU"/>
              </w:rPr>
              <w:t>Я. В. Краснопольський</w:t>
            </w:r>
          </w:p>
        </w:tc>
      </w:tr>
      <w:tr w:rsidR="005B6330" w:rsidRPr="005B6330" w:rsidTr="005B6330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b/>
                <w:bCs/>
                <w:color w:val="auto"/>
                <w:lang w:val="uk-UA" w:eastAsia="ru-RU"/>
              </w:rPr>
              <w:t>Заступник Голови Державної</w:t>
            </w:r>
            <w:r w:rsidRPr="005B6330">
              <w:rPr>
                <w:rFonts w:eastAsia="Times New Roman"/>
                <w:b/>
                <w:bCs/>
                <w:color w:val="auto"/>
                <w:lang w:val="uk-UA" w:eastAsia="ru-RU"/>
              </w:rPr>
              <w:br/>
              <w:t>служби гірничого нагляду</w:t>
            </w:r>
            <w:r w:rsidRPr="005B6330">
              <w:rPr>
                <w:rFonts w:eastAsia="Times New Roman"/>
                <w:b/>
                <w:bCs/>
                <w:color w:val="auto"/>
                <w:lang w:val="uk-UA" w:eastAsia="ru-RU"/>
              </w:rPr>
              <w:br/>
              <w:t>та промислової безпеки 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b/>
                <w:bCs/>
                <w:color w:val="auto"/>
                <w:lang w:val="uk-UA" w:eastAsia="ru-RU"/>
              </w:rPr>
              <w:t>С. Дунас</w:t>
            </w:r>
          </w:p>
        </w:tc>
      </w:tr>
      <w:tr w:rsidR="005B6330" w:rsidRPr="005B6330" w:rsidTr="005B6330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b/>
                <w:bCs/>
                <w:color w:val="auto"/>
                <w:lang w:val="uk-UA" w:eastAsia="ru-RU"/>
              </w:rPr>
              <w:t>Перший заступник Міністра</w:t>
            </w:r>
            <w:r w:rsidRPr="005B6330">
              <w:rPr>
                <w:rFonts w:eastAsia="Times New Roman"/>
                <w:b/>
                <w:bCs/>
                <w:color w:val="auto"/>
                <w:lang w:val="uk-UA" w:eastAsia="ru-RU"/>
              </w:rPr>
              <w:br/>
              <w:t>регіонального розвитку, будівництва</w:t>
            </w:r>
            <w:r w:rsidRPr="005B6330">
              <w:rPr>
                <w:rFonts w:eastAsia="Times New Roman"/>
                <w:b/>
                <w:bCs/>
                <w:color w:val="auto"/>
                <w:lang w:val="uk-UA" w:eastAsia="ru-RU"/>
              </w:rPr>
              <w:br/>
              <w:t>та житлово-комунального</w:t>
            </w:r>
            <w:r w:rsidRPr="005B6330">
              <w:rPr>
                <w:rFonts w:eastAsia="Times New Roman"/>
                <w:b/>
                <w:bCs/>
                <w:color w:val="auto"/>
                <w:lang w:val="uk-UA" w:eastAsia="ru-RU"/>
              </w:rPr>
              <w:br/>
              <w:t>господарства 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b/>
                <w:bCs/>
                <w:color w:val="auto"/>
                <w:lang w:val="uk-UA" w:eastAsia="ru-RU"/>
              </w:rPr>
              <w:t>В. Є. Кістіон</w:t>
            </w:r>
          </w:p>
        </w:tc>
      </w:tr>
    </w:tbl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 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ЗАТВЕРДЖЕНО</w:t>
      </w: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br/>
        <w:t>Наказ Міністерства освіти і науки України</w:t>
      </w: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br/>
        <w:t>30 січня 2015 року N 68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lastRenderedPageBreak/>
        <w:t>Зареєстровано</w:t>
      </w: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br/>
        <w:t>в Міністерстві юстиції України</w:t>
      </w: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br/>
        <w:t>27 березня 2015 р. за N 337/26782</w:t>
      </w:r>
    </w:p>
    <w:p w:rsidR="005B6330" w:rsidRPr="005B6330" w:rsidRDefault="005B6330" w:rsidP="005B6330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/>
          <w:b/>
          <w:bCs/>
          <w:color w:val="293A55"/>
          <w:sz w:val="33"/>
          <w:szCs w:val="33"/>
          <w:lang w:val="uk-UA" w:eastAsia="ru-RU"/>
        </w:rPr>
      </w:pPr>
      <w:r w:rsidRPr="005B6330">
        <w:rPr>
          <w:rFonts w:ascii="inherit" w:eastAsia="Times New Roman" w:hAnsi="inherit"/>
          <w:b/>
          <w:bCs/>
          <w:color w:val="293A55"/>
          <w:sz w:val="33"/>
          <w:szCs w:val="33"/>
          <w:lang w:val="uk-UA" w:eastAsia="ru-RU"/>
        </w:rPr>
        <w:t>ПОЛОЖЕННЯ</w:t>
      </w:r>
      <w:r w:rsidRPr="005B6330">
        <w:rPr>
          <w:rFonts w:ascii="inherit" w:eastAsia="Times New Roman" w:hAnsi="inherit"/>
          <w:b/>
          <w:bCs/>
          <w:color w:val="293A55"/>
          <w:sz w:val="33"/>
          <w:szCs w:val="33"/>
          <w:lang w:val="uk-UA" w:eastAsia="ru-RU"/>
        </w:rPr>
        <w:br/>
        <w:t>про учнівські навчально-дослідні земельні ділянки</w:t>
      </w:r>
    </w:p>
    <w:p w:rsidR="005B6330" w:rsidRPr="005B6330" w:rsidRDefault="005B6330" w:rsidP="005B6330">
      <w:pPr>
        <w:shd w:val="clear" w:color="auto" w:fill="FFFFFF"/>
        <w:spacing w:after="0" w:line="240" w:lineRule="auto"/>
        <w:jc w:val="both"/>
        <w:outlineLvl w:val="2"/>
        <w:rPr>
          <w:rFonts w:ascii="inherit" w:eastAsia="Times New Roman" w:hAnsi="inherit"/>
          <w:b/>
          <w:bCs/>
          <w:color w:val="293A55"/>
          <w:sz w:val="33"/>
          <w:szCs w:val="33"/>
          <w:lang w:val="uk-UA" w:eastAsia="ru-RU"/>
        </w:rPr>
      </w:pPr>
      <w:r w:rsidRPr="005B6330">
        <w:rPr>
          <w:rFonts w:ascii="inherit" w:eastAsia="Times New Roman" w:hAnsi="inherit"/>
          <w:b/>
          <w:bCs/>
          <w:color w:val="293A55"/>
          <w:sz w:val="33"/>
          <w:szCs w:val="33"/>
          <w:lang w:val="uk-UA" w:eastAsia="ru-RU"/>
        </w:rPr>
        <w:t>I. Загальні положення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1. Це Положення визначає порядок організації діяльності учнівських навчально-дослідних земельних ділянок (далі - ділянка), що створюються у загальноосвітньому та позашкільному навчальному закладі з метою проведення лабораторних і практичних занять з природознавства, біології, трудового навчання, навчальних практик, науково-дослідницької та природоохоронної діяльності учнів (вихованців) загальноосвітніх навчальних закладів, учнів, вихованців (учнів, слухачів) позашкільних навчальних закладів (далі - учні).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2. Координаційно-методичний супровід роботи на ділянках здійснюють позашкільні навчальні заклади еколого-натуралістичного напряму.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3. Забороняється використання ділянки не за цільовим призначенням.</w:t>
      </w:r>
    </w:p>
    <w:p w:rsidR="005B6330" w:rsidRPr="005B6330" w:rsidRDefault="005B6330" w:rsidP="005B6330">
      <w:pPr>
        <w:shd w:val="clear" w:color="auto" w:fill="FFFFFF"/>
        <w:spacing w:after="0" w:line="240" w:lineRule="auto"/>
        <w:jc w:val="both"/>
        <w:outlineLvl w:val="2"/>
        <w:rPr>
          <w:rFonts w:ascii="inherit" w:eastAsia="Times New Roman" w:hAnsi="inherit"/>
          <w:b/>
          <w:bCs/>
          <w:color w:val="293A55"/>
          <w:sz w:val="33"/>
          <w:szCs w:val="33"/>
          <w:lang w:val="uk-UA" w:eastAsia="ru-RU"/>
        </w:rPr>
      </w:pPr>
      <w:r w:rsidRPr="005B6330">
        <w:rPr>
          <w:rFonts w:ascii="inherit" w:eastAsia="Times New Roman" w:hAnsi="inherit"/>
          <w:b/>
          <w:bCs/>
          <w:color w:val="293A55"/>
          <w:sz w:val="33"/>
          <w:szCs w:val="33"/>
          <w:lang w:val="uk-UA" w:eastAsia="ru-RU"/>
        </w:rPr>
        <w:t>II. Площа та відділи ділянки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1. Площа ділянки встановлюється з урахуванням особливостей діяльності навчального закладу, в якому вона діє, та місцевих умов згідно з таблицею, наведеною у додатку 1 до цього Положення.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2. Ділянка може складатися з таких відділів: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колекційний;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селекційно-генетичний;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квітково-декоративний;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зоолого-тваринницький;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дендрологічний;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плодово-ягідний;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закритого ґрунту;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польових культур;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овочевих культур.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3. Мінімальна кількість відділів становить: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для загальноосвітніх навчальних закладів I ступеня - 4 відділи;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для загальноосвітніх навчальних закладів I - II ступенів, I - III ступенів - 5 відділів;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для обласних еколого-натуралістичних центрів (обласних станцій юних натуралістів) - 6 відділів;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для районних, міських еколого-натуралістичних центрів (станцій юних натуралістів) - 6 відділів.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lastRenderedPageBreak/>
        <w:t>Площа кожного відділу визначається завідувачем ділянки з урахуванням місцевих умов і кількості учнів, які залучаються до роботи, та погоджується з керівником навчального закладу (додаток 2).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4. Колекційний відділ призначається для вирощування типових представників основних сільськогосподарських і систематичних груп рослин: технічних, лікарських, овочевих, зернових і кормових культур, інтродукованих рослин.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5. Селекційно-генетичний відділ призначається для проведення дослідів при вивченні відповідних тем курсів загальної біології, генетики та основ селекції.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До складу селекційно-генетичного відділу можуть входити селекційна та генетична ділянки.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Селекційна ділянка складається із розсадників, на яких відображається селекційний процес створення сортів однієї або декількох сільськогосподарських культур.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На генетичній ділянці вирощуються колекції гібридних і мутантних рослин, закладаються досліди з генетики.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6. Складовими квітково-декоративного відділу можуть бути колекційні ділянки однорічних, дворічних і багаторічних квіткових рослин, квітників (бордюри, рабатки, міксбордери, клумби, альпінарії, рокарії), декоративні насадження тощо.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7. Складовими зоолого-тваринницького відділу можуть бути крільчатник, голуб'ятник, пташник, пасіка тощо. У зоолого-тваринницькому відділі утримується така кількість тварин, яка забезпечує проведення навчальної та дослідної роботи із зоології та тваринництва.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Кормова база для тварин забезпечується за рахунок продукції сільськогосподарських культур, що вирощуються у відповідних відділах ділянки.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8. Дендрологічний відділ призначається для створення колекції деревних і кущових рослин, висаджених за систематичним, географічним або господарським принципом, а також для створення художньо-декоративних композицій, садово-паркової архітектури.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Складовими дендрологічного відділу можуть бути розсадники деревних і кущових рослин.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9. Складовими плодово-ягідного відділу можуть бути плодовий сад, ягідник, виноградник та плодово-ягідний розсадник, де вирощують та розмножують кращі районовані й місцеві сорти плодових і ягідних культур, проводиться дослідницька робота з ними.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10. Закритий ґрунт (теплиці, парники тощо) використовується для проведення практичних занять, дослідницької роботи, вирощування овочевих і квітково-декоративних культур, розсади, розмноження плодово-ягідних і деревних рослин.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lastRenderedPageBreak/>
        <w:t>11. Відділ польових культур і відділ овочевих культур призначаються для вирощування сортів і гібридів основних сільськогосподарських культур певної природно-кліматичної зони та проведення дослідницької роботи. Сівозміни запроваджуються з урахуванням навчальних програм із природознавства, біології, трудового навчання та програм профільних творчих учнівських об'єднань.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12. Ділянка забезпечується підсобними приміщеннями, які використовуються для зберігання сільськогосподарського обладнання, інвентарю та аптечки першої допомоги.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Біля підсобного приміщення влаштовується протипожежний куток.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Добрива та засоби захисту рослин зберігаються відповідно до інструкції виробника у спеціальній тарі з чіткими написами їх назв.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13. Навчальний заклад може мати додаткову земельну ділянку, відведену під багаторічні насадження, або площу для вирощування сільськогосподарських культур.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14. Ділянка забезпечується сільськогосподарським обладнанням та інвентарем відповідно до місцевих умов і вимог агротехнічного обробітку ґрунту.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15. Навколо ділянки повинен бути створений живопліт із декоративних кущів, витких рослин або влаштована штучна огорожа.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Земельна ділянка забезпечується водою для поливу рослин.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16. У районах, які зазнали наслідків від аварії на Чорнобильській АЕС, на ділянку повинен бути завезений ґрунт з екологічно чистих районів.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17. Вирощена на ділянці продукція може бути використана для потреб загальноосвітнього або позашкільного навчального закладу або реалізована відповідно до пункту 44 Положення про позашкільний навчальний заклад, затвердженого</w:t>
      </w:r>
      <w:r w:rsidRPr="005B6330">
        <w:rPr>
          <w:rFonts w:ascii="IBM Plex Serif" w:eastAsia="Times New Roman" w:hAnsi="IBM Plex Serif"/>
          <w:color w:val="293A55"/>
          <w:sz w:val="27"/>
          <w:lang w:val="uk-UA" w:eastAsia="ru-RU"/>
        </w:rPr>
        <w:t> </w:t>
      </w:r>
      <w:hyperlink r:id="rId11" w:tgtFrame="_blank" w:history="1">
        <w:r w:rsidRPr="005B6330">
          <w:rPr>
            <w:rFonts w:ascii="IBM Plex Serif" w:eastAsia="Times New Roman" w:hAnsi="IBM Plex Serif"/>
            <w:color w:val="0000FF"/>
            <w:sz w:val="27"/>
            <w:lang w:val="uk-UA" w:eastAsia="ru-RU"/>
          </w:rPr>
          <w:t>постановою Кабінету Міністрів України від 06 травня 2001 року N 433</w:t>
        </w:r>
      </w:hyperlink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, та пункту 105 Положення про загальноосвітній навчальний заклад, затвердженого</w:t>
      </w:r>
      <w:r w:rsidRPr="005B6330">
        <w:rPr>
          <w:rFonts w:ascii="IBM Plex Serif" w:eastAsia="Times New Roman" w:hAnsi="IBM Plex Serif"/>
          <w:color w:val="293A55"/>
          <w:sz w:val="27"/>
          <w:lang w:val="uk-UA" w:eastAsia="ru-RU"/>
        </w:rPr>
        <w:t> </w:t>
      </w:r>
      <w:hyperlink r:id="rId12" w:tgtFrame="_blank" w:history="1">
        <w:r w:rsidRPr="005B6330">
          <w:rPr>
            <w:rFonts w:ascii="IBM Plex Serif" w:eastAsia="Times New Roman" w:hAnsi="IBM Plex Serif"/>
            <w:color w:val="0000FF"/>
            <w:sz w:val="27"/>
            <w:lang w:val="uk-UA" w:eastAsia="ru-RU"/>
          </w:rPr>
          <w:t>постановою Кабінету Міністрів України від 27 серпня 2010 року N 778</w:t>
        </w:r>
      </w:hyperlink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. Кошти від реалізації вирощеної продукції перераховуються на спецрахунок навчального закладу та використовуються в установленому законодавством порядку.</w:t>
      </w:r>
    </w:p>
    <w:p w:rsidR="005B6330" w:rsidRPr="005B6330" w:rsidRDefault="005B6330" w:rsidP="005B6330">
      <w:pPr>
        <w:shd w:val="clear" w:color="auto" w:fill="FFFFFF"/>
        <w:spacing w:after="0" w:line="240" w:lineRule="auto"/>
        <w:jc w:val="both"/>
        <w:outlineLvl w:val="2"/>
        <w:rPr>
          <w:rFonts w:ascii="inherit" w:eastAsia="Times New Roman" w:hAnsi="inherit"/>
          <w:b/>
          <w:bCs/>
          <w:color w:val="293A55"/>
          <w:sz w:val="33"/>
          <w:szCs w:val="33"/>
          <w:lang w:val="uk-UA" w:eastAsia="ru-RU"/>
        </w:rPr>
      </w:pPr>
      <w:r w:rsidRPr="005B6330">
        <w:rPr>
          <w:rFonts w:ascii="inherit" w:eastAsia="Times New Roman" w:hAnsi="inherit"/>
          <w:b/>
          <w:bCs/>
          <w:color w:val="293A55"/>
          <w:sz w:val="33"/>
          <w:szCs w:val="33"/>
          <w:lang w:val="uk-UA" w:eastAsia="ru-RU"/>
        </w:rPr>
        <w:t>III. Зміст і організація діяльності учнів на ділянці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1. Основними напрямами діяльності учнів на ділянці є вирощування рослин і тварин, спостереження за їхнім ростом і розвитком, проведення практичних занять, дослідів згідно з відповідними навчальними програмами.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2. Дослідна та практична робота учнів на ділянці проводиться на основі знань, яких вони набули в процесі вивчення основ наук, з використанням досягнень сучасної науки, досвіду вирощування якісної сільськогосподарської продукції.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3. Для ефективної роботи на ділянці учні організовуються в гуртки, клуби, ланки, групи тощо.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lastRenderedPageBreak/>
        <w:t>4. Робота учнів на ділянці організовується відповідно до плану, який є складовою річного плану роботи навчального закладу, в якому діє ділянка.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План роботи на ділянці може складатися з таких розділів: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планування території ділянки (розміщення відділів, полів сівозміни, розподіл території ділянки між класами (ланками, гуртками, групами продовженого дня);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організація форм учнівських об'єднань (гуртки, клуби, ланки тощо), які працюють на ділянці;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зміст і організація роботи (перелік рослин, тварин, що вирощуються на ділянці; тематика спостережень та дослідів; список навчальних і наочних посібників, які планується підготувати; календарні строки і порядок виконання учнями робіт, розклад навчальних занять, графік роботи учнів на ділянці, у тому числі в період навчальних практик);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керівництво роботою учнів на ділянці (закріплення вчителів, класних керівників, вихователів груп продовженого дня за відділами ділянки, графік їхньої роботи в період навчальних практик);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матеріальне забезпечення роботи на ділянці (визначення потреб в інвентарі, обладнанні, добривах, посівному та посадковому матеріалах, кормах для тварин тощо).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5. Навчально-виховна і дослідницька робота на закритому ґрунті та тваринницькій фермі здійснюється за окремим планом, який є складовою плану роботи на ділянці.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6. Керівником навчального закладу, в якому діє ділянка, призначається завідувач ділянки.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Завідувач ділянки за його бажанням може бути звільнений від обов'язків класного керівника, керівника творчого учнівського об'єднання.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7. Завідувач ділянки: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відповідає за стан ділянки;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організовує, координує та контролює роботу учнів на ділянці;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організовує, координує та контролює роботу педагогічних працівників на ділянці;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складає на початку навчального року річний план роботи та господарсько-фінансовий кошторис ділянки;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відповідає за неухильне виконання учнями та педагогічними працівниками, залученими до роботи на ділянці, правил техніки безпеки та санітарно-гігієнічних вимог;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веде облік роботи учнів і педагогічних працівників на ділянці;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організовує участь учнів у звітних і презентаційних виставках;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 xml:space="preserve">подає пропозиції керівнику навчального закладу, педагогічній раді щодо використання коштів, отриманих від реалізації продукції, вирощеної на </w:t>
      </w: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lastRenderedPageBreak/>
        <w:t>навчально-дослідній земельній ділянці, одержаного врожаю з ділянки; про відзначення кращих класів, ланок, гуртків, груп, окремих учнів;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складає річний звіт про навчальну й дослідницьку роботу учнів на ділянці та подає його на розгляд педагогічної ради.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8. Оплата за завідування ділянкою здійснюється відповідно до</w:t>
      </w:r>
      <w:r w:rsidRPr="005B6330">
        <w:rPr>
          <w:rFonts w:ascii="IBM Plex Serif" w:eastAsia="Times New Roman" w:hAnsi="IBM Plex Serif"/>
          <w:color w:val="293A55"/>
          <w:sz w:val="27"/>
          <w:lang w:val="uk-UA" w:eastAsia="ru-RU"/>
        </w:rPr>
        <w:t> </w:t>
      </w:r>
      <w:hyperlink r:id="rId13" w:tgtFrame="_blank" w:history="1">
        <w:r w:rsidRPr="005B6330">
          <w:rPr>
            <w:rFonts w:ascii="IBM Plex Serif" w:eastAsia="Times New Roman" w:hAnsi="IBM Plex Serif"/>
            <w:color w:val="0000FF"/>
            <w:sz w:val="27"/>
            <w:lang w:val="uk-UA" w:eastAsia="ru-RU"/>
          </w:rPr>
          <w:t>статті 22 Закону України "Про позашкільну освіту"</w:t>
        </w:r>
      </w:hyperlink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9. Підбиття підсумків робіт на ділянці проводять щороку на початку навчального року.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У межах звіту про роботу учнів на ділянці можуть організовуватись виставки, ярмарки, свято врожаю тощо.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10. У разі відсутності в навчальному закладі ділянки учні можуть здійснювати відповідні роботи на ділянках позашкільних навчальних закладів еколого-натуралістичного напряму, сільськогосподарських підприємств, дендропарків, ботанічних садів тощо.</w:t>
      </w:r>
    </w:p>
    <w:p w:rsidR="005B6330" w:rsidRPr="005B6330" w:rsidRDefault="005B6330" w:rsidP="005B6330">
      <w:pPr>
        <w:shd w:val="clear" w:color="auto" w:fill="FFFFFF"/>
        <w:spacing w:after="0" w:line="240" w:lineRule="auto"/>
        <w:jc w:val="both"/>
        <w:outlineLvl w:val="2"/>
        <w:rPr>
          <w:rFonts w:ascii="inherit" w:eastAsia="Times New Roman" w:hAnsi="inherit"/>
          <w:b/>
          <w:bCs/>
          <w:color w:val="293A55"/>
          <w:sz w:val="33"/>
          <w:szCs w:val="33"/>
          <w:lang w:val="uk-UA" w:eastAsia="ru-RU"/>
        </w:rPr>
      </w:pPr>
      <w:r w:rsidRPr="005B6330">
        <w:rPr>
          <w:rFonts w:ascii="inherit" w:eastAsia="Times New Roman" w:hAnsi="inherit"/>
          <w:b/>
          <w:bCs/>
          <w:color w:val="293A55"/>
          <w:sz w:val="33"/>
          <w:szCs w:val="33"/>
          <w:lang w:val="uk-UA" w:eastAsia="ru-RU"/>
        </w:rPr>
        <w:t>IV. Охорона праці учнів на ділянці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1. У процесі роботи учнів на ділянці забезпечується раціональний режим праці й відпочинку та дотримання учнями правил техніки безпеки і санітарно-гігієнічних вимог згідно з Положенням про організацію роботи з охорони праці учасників навчально-виховного процесу в установах і навчальних закладах, затвердженим</w:t>
      </w:r>
      <w:hyperlink r:id="rId14" w:tgtFrame="_blank" w:history="1">
        <w:r w:rsidRPr="005B6330">
          <w:rPr>
            <w:rFonts w:ascii="IBM Plex Serif" w:eastAsia="Times New Roman" w:hAnsi="IBM Plex Serif"/>
            <w:color w:val="0000FF"/>
            <w:sz w:val="27"/>
            <w:lang w:val="uk-UA" w:eastAsia="ru-RU"/>
          </w:rPr>
          <w:t>наказом Міністерства освіти і науки України від 01 серпня 2001 року N 563</w:t>
        </w:r>
      </w:hyperlink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, зареєстрованим у Міністерстві юстиції України 20 листопада 2001 року за N 969/6160 (далі - Положення про організацію роботи з охорони праці).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2. Учні допускаються до роботи на ділянці лише після проведення з ними інструктажу та перевірки знань з охорони праці. Інструктаж з охорони праці проводиться відповідно до</w:t>
      </w:r>
      <w:r w:rsidRPr="005B6330">
        <w:rPr>
          <w:rFonts w:ascii="IBM Plex Serif" w:eastAsia="Times New Roman" w:hAnsi="IBM Plex Serif"/>
          <w:color w:val="293A55"/>
          <w:sz w:val="27"/>
          <w:lang w:val="uk-UA" w:eastAsia="ru-RU"/>
        </w:rPr>
        <w:t> </w:t>
      </w:r>
      <w:hyperlink r:id="rId15" w:tgtFrame="_blank" w:history="1">
        <w:r w:rsidRPr="005B6330">
          <w:rPr>
            <w:rFonts w:ascii="IBM Plex Serif" w:eastAsia="Times New Roman" w:hAnsi="IBM Plex Serif"/>
            <w:color w:val="0000FF"/>
            <w:sz w:val="27"/>
            <w:lang w:val="uk-UA" w:eastAsia="ru-RU"/>
          </w:rPr>
          <w:t>Положення про організацію роботи з охорони праці</w:t>
        </w:r>
      </w:hyperlink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Учні працюють на ділянці лише в денний час та не допускаються до роботи з отрутохімікатами.</w:t>
      </w:r>
    </w:p>
    <w:p w:rsidR="005B6330" w:rsidRPr="005B6330" w:rsidRDefault="005B6330" w:rsidP="005B6330">
      <w:pPr>
        <w:shd w:val="clear" w:color="auto" w:fill="FFFFFF"/>
        <w:spacing w:after="0" w:line="240" w:lineRule="auto"/>
        <w:jc w:val="both"/>
        <w:outlineLvl w:val="2"/>
        <w:rPr>
          <w:rFonts w:ascii="inherit" w:eastAsia="Times New Roman" w:hAnsi="inherit"/>
          <w:b/>
          <w:bCs/>
          <w:color w:val="293A55"/>
          <w:sz w:val="33"/>
          <w:szCs w:val="33"/>
          <w:lang w:val="uk-UA" w:eastAsia="ru-RU"/>
        </w:rPr>
      </w:pPr>
      <w:r w:rsidRPr="005B6330">
        <w:rPr>
          <w:rFonts w:ascii="inherit" w:eastAsia="Times New Roman" w:hAnsi="inherit"/>
          <w:b/>
          <w:bCs/>
          <w:color w:val="293A55"/>
          <w:sz w:val="33"/>
          <w:szCs w:val="33"/>
          <w:lang w:val="uk-UA" w:eastAsia="ru-RU"/>
        </w:rPr>
        <w:t>V. Фінансування та матеріально-технічне забезпечення діяльності ділянки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Витрати на фінансування та матеріально-технічне забезпечення діяльності ділянки здійснюються за рахунок коштів, не заборонених чинним законодавством України.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7"/>
        <w:gridCol w:w="4678"/>
      </w:tblGrid>
      <w:tr w:rsidR="005B6330" w:rsidRPr="005B6330" w:rsidTr="005B6330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b/>
                <w:bCs/>
                <w:color w:val="auto"/>
                <w:lang w:val="uk-UA" w:eastAsia="ru-RU"/>
              </w:rPr>
              <w:t>Директор департаменту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b/>
                <w:bCs/>
                <w:color w:val="auto"/>
                <w:lang w:val="uk-UA" w:eastAsia="ru-RU"/>
              </w:rPr>
              <w:t>В. В. Супрун</w:t>
            </w:r>
          </w:p>
        </w:tc>
      </w:tr>
    </w:tbl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 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Додаток 1</w:t>
      </w: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br/>
        <w:t>до Положення про учнівські навчально-дослідні земельні ділянки</w:t>
      </w: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br/>
        <w:t>(пункт 1 розділу II)</w:t>
      </w:r>
    </w:p>
    <w:p w:rsidR="005B6330" w:rsidRPr="005B6330" w:rsidRDefault="005B6330" w:rsidP="005B6330">
      <w:pPr>
        <w:shd w:val="clear" w:color="auto" w:fill="FFFFFF"/>
        <w:spacing w:after="0" w:line="240" w:lineRule="auto"/>
        <w:jc w:val="both"/>
        <w:outlineLvl w:val="2"/>
        <w:rPr>
          <w:rFonts w:ascii="inherit" w:eastAsia="Times New Roman" w:hAnsi="inherit"/>
          <w:b/>
          <w:bCs/>
          <w:color w:val="293A55"/>
          <w:sz w:val="33"/>
          <w:szCs w:val="33"/>
          <w:lang w:val="uk-UA" w:eastAsia="ru-RU"/>
        </w:rPr>
      </w:pPr>
      <w:r w:rsidRPr="005B6330">
        <w:rPr>
          <w:rFonts w:ascii="inherit" w:eastAsia="Times New Roman" w:hAnsi="inherit"/>
          <w:b/>
          <w:bCs/>
          <w:color w:val="293A55"/>
          <w:sz w:val="33"/>
          <w:szCs w:val="33"/>
          <w:lang w:val="uk-UA" w:eastAsia="ru-RU"/>
        </w:rPr>
        <w:lastRenderedPageBreak/>
        <w:t>Таблиця</w:t>
      </w:r>
      <w:r w:rsidRPr="005B6330">
        <w:rPr>
          <w:rFonts w:ascii="inherit" w:eastAsia="Times New Roman" w:hAnsi="inherit"/>
          <w:b/>
          <w:bCs/>
          <w:color w:val="293A55"/>
          <w:sz w:val="33"/>
          <w:szCs w:val="33"/>
          <w:lang w:val="uk-UA" w:eastAsia="ru-RU"/>
        </w:rPr>
        <w:br/>
        <w:t>орієнтовних площ учнівських навчально-дослідних земельних ділянок для різних типів навчальних закладів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6372"/>
        <w:gridCol w:w="2249"/>
      </w:tblGrid>
      <w:tr w:rsidR="005B6330" w:rsidRPr="005B6330" w:rsidTr="005B6330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N</w:t>
            </w:r>
            <w:r w:rsidRPr="005B6330">
              <w:rPr>
                <w:rFonts w:eastAsia="Times New Roman"/>
                <w:color w:val="auto"/>
                <w:lang w:val="uk-UA" w:eastAsia="ru-RU"/>
              </w:rPr>
              <w:br/>
              <w:t>з/п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Тип навчального закладу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Орієнтовна площа ділянки (тис. м</w:t>
            </w:r>
            <w:r w:rsidRPr="005B6330">
              <w:rPr>
                <w:rFonts w:eastAsia="Times New Roman"/>
                <w:color w:val="auto"/>
                <w:sz w:val="20"/>
                <w:szCs w:val="20"/>
                <w:vertAlign w:val="superscript"/>
                <w:lang w:val="uk-UA" w:eastAsia="ru-RU"/>
              </w:rPr>
              <w:t>2</w:t>
            </w:r>
            <w:r w:rsidRPr="005B6330">
              <w:rPr>
                <w:rFonts w:eastAsia="Times New Roman"/>
                <w:color w:val="auto"/>
                <w:lang w:val="uk-UA" w:eastAsia="ru-RU"/>
              </w:rPr>
              <w:t>)</w:t>
            </w:r>
          </w:p>
        </w:tc>
      </w:tr>
      <w:tr w:rsidR="005B6330" w:rsidRPr="005B6330" w:rsidTr="005B6330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1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Загальноосвітній навчальний заклад I ступеня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5 - 15</w:t>
            </w:r>
          </w:p>
        </w:tc>
      </w:tr>
      <w:tr w:rsidR="005B6330" w:rsidRPr="005B6330" w:rsidTr="005B6330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2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Загальноосвітній навчальний заклад I - II ступенів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5 - 20</w:t>
            </w:r>
          </w:p>
        </w:tc>
      </w:tr>
      <w:tr w:rsidR="005B6330" w:rsidRPr="005B6330" w:rsidTr="005B6330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3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Загальноосвітній навчальний заклад II - III і III ступенів, професійно-технічний навчальний заклад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7 - 20</w:t>
            </w:r>
          </w:p>
        </w:tc>
      </w:tr>
      <w:tr w:rsidR="005B6330" w:rsidRPr="005B6330" w:rsidTr="005B6330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4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Позашкільний навчальний заклад районного (міського) підпорядкування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10 - 25</w:t>
            </w:r>
          </w:p>
        </w:tc>
      </w:tr>
      <w:tr w:rsidR="005B6330" w:rsidRPr="005B6330" w:rsidTr="005B6330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5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Позашкільний навчальний заклад обласного підпорядкування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5 - 20</w:t>
            </w:r>
          </w:p>
        </w:tc>
      </w:tr>
    </w:tbl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 </w:t>
      </w:r>
    </w:p>
    <w:p w:rsidR="005B6330" w:rsidRPr="005B6330" w:rsidRDefault="005B6330" w:rsidP="005B6330">
      <w:pPr>
        <w:shd w:val="clear" w:color="auto" w:fill="FFFFFF"/>
        <w:spacing w:after="0" w:line="378" w:lineRule="atLeast"/>
        <w:jc w:val="both"/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</w:pP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t>Додаток 2</w:t>
      </w: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br/>
        <w:t>до Положення про учнівські навчально-дослідні земельні ділянки</w:t>
      </w:r>
      <w:r w:rsidRPr="005B6330">
        <w:rPr>
          <w:rFonts w:ascii="IBM Plex Serif" w:eastAsia="Times New Roman" w:hAnsi="IBM Plex Serif"/>
          <w:color w:val="293A55"/>
          <w:sz w:val="27"/>
          <w:szCs w:val="27"/>
          <w:lang w:val="uk-UA" w:eastAsia="ru-RU"/>
        </w:rPr>
        <w:br/>
        <w:t>(пункт 3 розділу II)</w:t>
      </w:r>
    </w:p>
    <w:p w:rsidR="005B6330" w:rsidRPr="005B6330" w:rsidRDefault="005B6330" w:rsidP="005B6330">
      <w:pPr>
        <w:shd w:val="clear" w:color="auto" w:fill="FFFFFF"/>
        <w:spacing w:after="0" w:line="240" w:lineRule="auto"/>
        <w:jc w:val="both"/>
        <w:outlineLvl w:val="2"/>
        <w:rPr>
          <w:rFonts w:ascii="inherit" w:eastAsia="Times New Roman" w:hAnsi="inherit"/>
          <w:b/>
          <w:bCs/>
          <w:color w:val="293A55"/>
          <w:sz w:val="33"/>
          <w:szCs w:val="33"/>
          <w:lang w:val="uk-UA" w:eastAsia="ru-RU"/>
        </w:rPr>
      </w:pPr>
      <w:r w:rsidRPr="005B6330">
        <w:rPr>
          <w:rFonts w:ascii="inherit" w:eastAsia="Times New Roman" w:hAnsi="inherit"/>
          <w:b/>
          <w:bCs/>
          <w:color w:val="293A55"/>
          <w:sz w:val="33"/>
          <w:szCs w:val="33"/>
          <w:lang w:val="uk-UA" w:eastAsia="ru-RU"/>
        </w:rPr>
        <w:t>Таблиця</w:t>
      </w:r>
      <w:r w:rsidRPr="005B6330">
        <w:rPr>
          <w:rFonts w:ascii="inherit" w:eastAsia="Times New Roman" w:hAnsi="inherit"/>
          <w:b/>
          <w:bCs/>
          <w:color w:val="293A55"/>
          <w:sz w:val="33"/>
          <w:szCs w:val="33"/>
          <w:lang w:val="uk-UA" w:eastAsia="ru-RU"/>
        </w:rPr>
        <w:br/>
        <w:t>орієнтовних мінімальних площ об'єктів учнівської навчально-дослідної земельної ділянки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60"/>
        <w:gridCol w:w="1606"/>
        <w:gridCol w:w="1606"/>
        <w:gridCol w:w="1757"/>
        <w:gridCol w:w="1757"/>
      </w:tblGrid>
      <w:tr w:rsidR="005B6330" w:rsidRPr="005B6330" w:rsidTr="005B6330"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N</w:t>
            </w:r>
            <w:r w:rsidRPr="005B6330">
              <w:rPr>
                <w:rFonts w:eastAsia="Times New Roman"/>
                <w:color w:val="auto"/>
                <w:lang w:val="uk-UA" w:eastAsia="ru-RU"/>
              </w:rPr>
              <w:br/>
              <w:t>з/п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Назва відділу ділянки</w:t>
            </w:r>
          </w:p>
        </w:tc>
        <w:tc>
          <w:tcPr>
            <w:tcW w:w="3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Площа відділу (м</w:t>
            </w:r>
            <w:r w:rsidRPr="005B6330">
              <w:rPr>
                <w:rFonts w:eastAsia="Times New Roman"/>
                <w:color w:val="auto"/>
                <w:sz w:val="20"/>
                <w:szCs w:val="20"/>
                <w:vertAlign w:val="superscript"/>
                <w:lang w:val="uk-UA" w:eastAsia="ru-RU"/>
              </w:rPr>
              <w:t>2</w:t>
            </w:r>
            <w:r w:rsidRPr="005B6330">
              <w:rPr>
                <w:rFonts w:eastAsia="Times New Roman"/>
                <w:color w:val="auto"/>
                <w:lang w:val="uk-UA" w:eastAsia="ru-RU"/>
              </w:rPr>
              <w:t>)</w:t>
            </w:r>
          </w:p>
        </w:tc>
      </w:tr>
      <w:tr w:rsidR="005B6330" w:rsidRPr="005B6330" w:rsidTr="005B63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загальноосвітні навчальні заклади I та I - II ступенів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загальноосвітні навчальні заклади I - III та II - III ступенів, професійно-технічні навчальні заклади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позашкільні навчальні заклади районного (міського) підпорядкування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позашкільні навчальні заклади обласного підпорядкування</w:t>
            </w:r>
          </w:p>
        </w:tc>
      </w:tr>
      <w:tr w:rsidR="005B6330" w:rsidRPr="005B6330" w:rsidTr="005B6330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Колекційний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150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200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300</w:t>
            </w:r>
          </w:p>
        </w:tc>
      </w:tr>
      <w:tr w:rsidR="005B6330" w:rsidRPr="005B6330" w:rsidTr="005B6330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Селекційно-генетичний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200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200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200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200</w:t>
            </w:r>
          </w:p>
        </w:tc>
      </w:tr>
      <w:tr w:rsidR="005B6330" w:rsidRPr="005B6330" w:rsidTr="005B6330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Квітково-декоративний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250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500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350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500</w:t>
            </w:r>
          </w:p>
        </w:tc>
      </w:tr>
      <w:tr w:rsidR="005B6330" w:rsidRPr="005B6330" w:rsidTr="005B6330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Дендрологічний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500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1000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500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1000</w:t>
            </w:r>
          </w:p>
        </w:tc>
      </w:tr>
      <w:tr w:rsidR="005B6330" w:rsidRPr="005B6330" w:rsidTr="005B6330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Плодово-ягідний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500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700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700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1000</w:t>
            </w:r>
          </w:p>
        </w:tc>
      </w:tr>
      <w:tr w:rsidR="005B6330" w:rsidRPr="005B6330" w:rsidTr="005B6330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Польових культур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300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500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500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700</w:t>
            </w:r>
          </w:p>
        </w:tc>
      </w:tr>
      <w:tr w:rsidR="005B6330" w:rsidRPr="005B6330" w:rsidTr="005B6330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Овочевих культур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200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300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400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500</w:t>
            </w:r>
          </w:p>
        </w:tc>
      </w:tr>
      <w:tr w:rsidR="005B6330" w:rsidRPr="005B6330" w:rsidTr="005B6330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Закритого ґрунту (теплиці, парники)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15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20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30</w:t>
            </w:r>
          </w:p>
        </w:tc>
      </w:tr>
      <w:tr w:rsidR="005B6330" w:rsidRPr="005B6330" w:rsidTr="005B6330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Зоолого-тваринницький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30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30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50</w:t>
            </w:r>
          </w:p>
        </w:tc>
      </w:tr>
      <w:tr w:rsidR="005B6330" w:rsidRPr="005B6330" w:rsidTr="005B6330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10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Підсобні приміщення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30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40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50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330" w:rsidRPr="005B6330" w:rsidRDefault="005B6330" w:rsidP="005B6330">
            <w:pPr>
              <w:spacing w:after="0" w:line="240" w:lineRule="auto"/>
              <w:jc w:val="both"/>
              <w:rPr>
                <w:rFonts w:eastAsia="Times New Roman"/>
                <w:color w:val="auto"/>
                <w:lang w:val="uk-UA" w:eastAsia="ru-RU"/>
              </w:rPr>
            </w:pPr>
            <w:r w:rsidRPr="005B6330">
              <w:rPr>
                <w:rFonts w:eastAsia="Times New Roman"/>
                <w:color w:val="auto"/>
                <w:lang w:val="uk-UA" w:eastAsia="ru-RU"/>
              </w:rPr>
              <w:t>60</w:t>
            </w:r>
          </w:p>
        </w:tc>
      </w:tr>
    </w:tbl>
    <w:p w:rsidR="00B13358" w:rsidRPr="005B6330" w:rsidRDefault="00B13358" w:rsidP="005B6330">
      <w:pPr>
        <w:jc w:val="both"/>
        <w:rPr>
          <w:lang w:val="uk-UA"/>
        </w:rPr>
      </w:pPr>
    </w:p>
    <w:sectPr w:rsidR="00B13358" w:rsidRPr="005B6330" w:rsidSect="005B63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BM Plex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/>
  <w:rsids>
    <w:rsidRoot w:val="005B6330"/>
    <w:rsid w:val="005B6330"/>
    <w:rsid w:val="00705F8D"/>
    <w:rsid w:val="0077410D"/>
    <w:rsid w:val="0083566A"/>
    <w:rsid w:val="00915EC4"/>
    <w:rsid w:val="00B13358"/>
    <w:rsid w:val="00B3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58"/>
  </w:style>
  <w:style w:type="paragraph" w:styleId="2">
    <w:name w:val="heading 2"/>
    <w:basedOn w:val="a"/>
    <w:link w:val="20"/>
    <w:uiPriority w:val="9"/>
    <w:qFormat/>
    <w:rsid w:val="005B633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633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5B6330"/>
  </w:style>
  <w:style w:type="paragraph" w:customStyle="1" w:styleId="rvps4">
    <w:name w:val="rvps4"/>
    <w:basedOn w:val="a"/>
    <w:rsid w:val="005B6330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rvps1">
    <w:name w:val="rvps1"/>
    <w:basedOn w:val="a"/>
    <w:rsid w:val="005B6330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rvts15">
    <w:name w:val="rvts15"/>
    <w:basedOn w:val="a0"/>
    <w:rsid w:val="005B6330"/>
  </w:style>
  <w:style w:type="character" w:customStyle="1" w:styleId="rvts23">
    <w:name w:val="rvts23"/>
    <w:basedOn w:val="a0"/>
    <w:rsid w:val="005B6330"/>
  </w:style>
  <w:style w:type="paragraph" w:customStyle="1" w:styleId="rvps7">
    <w:name w:val="rvps7"/>
    <w:basedOn w:val="a"/>
    <w:rsid w:val="005B6330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rvts9">
    <w:name w:val="rvts9"/>
    <w:basedOn w:val="a0"/>
    <w:rsid w:val="005B6330"/>
  </w:style>
  <w:style w:type="paragraph" w:customStyle="1" w:styleId="rvps14">
    <w:name w:val="rvps14"/>
    <w:basedOn w:val="a"/>
    <w:rsid w:val="005B6330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apple-converted-space">
    <w:name w:val="apple-converted-space"/>
    <w:basedOn w:val="a0"/>
    <w:rsid w:val="005B6330"/>
  </w:style>
  <w:style w:type="paragraph" w:customStyle="1" w:styleId="rvps6">
    <w:name w:val="rvps6"/>
    <w:basedOn w:val="a"/>
    <w:rsid w:val="005B6330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rvps2">
    <w:name w:val="rvps2"/>
    <w:basedOn w:val="a"/>
    <w:rsid w:val="005B6330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styleId="a3">
    <w:name w:val="Hyperlink"/>
    <w:basedOn w:val="a0"/>
    <w:uiPriority w:val="99"/>
    <w:semiHidden/>
    <w:unhideWhenUsed/>
    <w:rsid w:val="005B6330"/>
    <w:rPr>
      <w:color w:val="0000FF"/>
      <w:u w:val="single"/>
    </w:rPr>
  </w:style>
  <w:style w:type="character" w:customStyle="1" w:styleId="rvts52">
    <w:name w:val="rvts52"/>
    <w:basedOn w:val="a0"/>
    <w:rsid w:val="005B6330"/>
  </w:style>
  <w:style w:type="character" w:customStyle="1" w:styleId="rvts44">
    <w:name w:val="rvts44"/>
    <w:basedOn w:val="a0"/>
    <w:rsid w:val="005B6330"/>
  </w:style>
  <w:style w:type="paragraph" w:customStyle="1" w:styleId="rvps15">
    <w:name w:val="rvps15"/>
    <w:basedOn w:val="a"/>
    <w:rsid w:val="005B6330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rvps11">
    <w:name w:val="rvps11"/>
    <w:basedOn w:val="a"/>
    <w:rsid w:val="005B6330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rvps8">
    <w:name w:val="rvps8"/>
    <w:basedOn w:val="a"/>
    <w:rsid w:val="005B6330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rvps12">
    <w:name w:val="rvps12"/>
    <w:basedOn w:val="a"/>
    <w:rsid w:val="005B6330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rvts37">
    <w:name w:val="rvts37"/>
    <w:basedOn w:val="a0"/>
    <w:rsid w:val="005B6330"/>
  </w:style>
  <w:style w:type="character" w:customStyle="1" w:styleId="rvts82">
    <w:name w:val="rvts82"/>
    <w:basedOn w:val="a0"/>
    <w:rsid w:val="005B6330"/>
  </w:style>
  <w:style w:type="character" w:customStyle="1" w:styleId="20">
    <w:name w:val="Заголовок 2 Знак"/>
    <w:basedOn w:val="a0"/>
    <w:link w:val="2"/>
    <w:uiPriority w:val="9"/>
    <w:rsid w:val="005B6330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6330"/>
    <w:rPr>
      <w:rFonts w:eastAsia="Times New Roman"/>
      <w:b/>
      <w:bCs/>
      <w:color w:val="auto"/>
      <w:sz w:val="27"/>
      <w:szCs w:val="27"/>
      <w:lang w:eastAsia="ru-RU"/>
    </w:rPr>
  </w:style>
  <w:style w:type="paragraph" w:customStyle="1" w:styleId="tc">
    <w:name w:val="tc"/>
    <w:basedOn w:val="a"/>
    <w:rsid w:val="005B6330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tj">
    <w:name w:val="tj"/>
    <w:basedOn w:val="a"/>
    <w:rsid w:val="005B6330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tl">
    <w:name w:val="tl"/>
    <w:basedOn w:val="a"/>
    <w:rsid w:val="005B6330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3987">
              <w:marLeft w:val="-248"/>
              <w:marRight w:val="-2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13228">
                              <w:marLeft w:val="0"/>
                              <w:marRight w:val="0"/>
                              <w:marTop w:val="166"/>
                              <w:marBottom w:val="16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836665">
                              <w:marLeft w:val="0"/>
                              <w:marRight w:val="0"/>
                              <w:marTop w:val="0"/>
                              <w:marBottom w:val="16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81517">
                              <w:marLeft w:val="0"/>
                              <w:marRight w:val="0"/>
                              <w:marTop w:val="0"/>
                              <w:marBottom w:val="16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465251">
                              <w:marLeft w:val="0"/>
                              <w:marRight w:val="0"/>
                              <w:marTop w:val="0"/>
                              <w:marBottom w:val="16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636139">
                              <w:marLeft w:val="0"/>
                              <w:marRight w:val="0"/>
                              <w:marTop w:val="0"/>
                              <w:marBottom w:val="16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84351">
                              <w:marLeft w:val="0"/>
                              <w:marRight w:val="0"/>
                              <w:marTop w:val="0"/>
                              <w:marBottom w:val="16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0421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5896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17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5538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921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770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336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1243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t001841?ed=2014_12_28&amp;an=155" TargetMode="External"/><Relationship Id="rId13" Type="http://schemas.openxmlformats.org/officeDocument/2006/relationships/hyperlink" Target="https://ips.ligazakon.net/document/view/t001841?ed=2014_12_28&amp;an=2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ps.ligazakon.net/document/view/t001841?ed=2014_12_28&amp;an=42" TargetMode="External"/><Relationship Id="rId12" Type="http://schemas.openxmlformats.org/officeDocument/2006/relationships/hyperlink" Target="https://ips.ligazakon.net/document/view/kp100778?ed=2014_01_22&amp;an=24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t001841?ed=2014_12_28&amp;an=31" TargetMode="External"/><Relationship Id="rId11" Type="http://schemas.openxmlformats.org/officeDocument/2006/relationships/hyperlink" Target="https://ips.ligazakon.net/document/view/kp010433?ed=2010_08_27&amp;an=179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s://ips.ligazakon.net/document/view/reg6160?ed=2006_11_20&amp;an=19" TargetMode="External"/><Relationship Id="rId10" Type="http://schemas.openxmlformats.org/officeDocument/2006/relationships/hyperlink" Target="https://ips.ligazakon.net/document/view/kp140630?ed=2014_10_16&amp;an=3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ps.ligazakon.net/document/view/t001841?ed=2014_12_28&amp;an=184" TargetMode="External"/><Relationship Id="rId14" Type="http://schemas.openxmlformats.org/officeDocument/2006/relationships/hyperlink" Target="https://ips.ligazakon.net/document/view/reg6160?ed=2006_11_20&amp;an=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2200</Words>
  <Characters>12546</Characters>
  <Application>Microsoft Office Word</Application>
  <DocSecurity>0</DocSecurity>
  <Lines>104</Lines>
  <Paragraphs>29</Paragraphs>
  <ScaleCrop>false</ScaleCrop>
  <Company/>
  <LinksUpToDate>false</LinksUpToDate>
  <CharactersWithSpaces>14717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2020-05-13T08:38:00Z</dcterms:created>
  <dcterms:modified xsi:type="dcterms:W3CDTF">2020-05-13T08:46:00Z</dcterms:modified>
</cp:coreProperties>
</file>