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    Відповідно до наказу управління освіти від 03.02.2021 року № 48 «Про зарахування  дітей до 1-х класів закладів загальної середньої освіти Чернівецької міської територіальної громади на 2021/2022 навчальний рік» прийом заяв батьків та документів про зарахування дітей до 1-го класу розпочнеться </w:t>
      </w:r>
      <w:r w:rsidRPr="00D04BC1">
        <w:rPr>
          <w:rFonts w:ascii="Arial" w:eastAsia="Times New Roman" w:hAnsi="Arial" w:cs="Arial"/>
          <w:b/>
          <w:bCs/>
          <w:color w:val="727272"/>
          <w:sz w:val="21"/>
          <w:szCs w:val="21"/>
          <w:lang w:eastAsia="ru-RU"/>
        </w:rPr>
        <w:t>01 березня 2021 року</w:t>
      </w:r>
      <w:r w:rsidRPr="00D04BC1">
        <w:rPr>
          <w:rFonts w:ascii="Arial" w:eastAsia="Times New Roman" w:hAnsi="Arial" w:cs="Arial"/>
          <w:color w:val="727272"/>
          <w:sz w:val="21"/>
          <w:szCs w:val="21"/>
          <w:lang w:eastAsia="ru-RU"/>
        </w:rPr>
        <w:t> та триватиме </w:t>
      </w:r>
      <w:r w:rsidRPr="00D04BC1">
        <w:rPr>
          <w:rFonts w:ascii="Arial" w:eastAsia="Times New Roman" w:hAnsi="Arial" w:cs="Arial"/>
          <w:b/>
          <w:bCs/>
          <w:color w:val="727272"/>
          <w:sz w:val="21"/>
          <w:szCs w:val="21"/>
          <w:lang w:eastAsia="ru-RU"/>
        </w:rPr>
        <w:t>до 31 травня 2021 року</w:t>
      </w:r>
      <w:r w:rsidRPr="00D04BC1">
        <w:rPr>
          <w:rFonts w:ascii="Arial" w:eastAsia="Times New Roman" w:hAnsi="Arial" w:cs="Arial"/>
          <w:color w:val="727272"/>
          <w:sz w:val="21"/>
          <w:szCs w:val="21"/>
          <w:lang w:eastAsia="ru-RU"/>
        </w:rPr>
        <w:t> включно.</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      Прийом заяв від батьків  буде здійснюватися:</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1. На період дії карантинних обмежень:     </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1.1.  через  портал «Електронна реєстрація в заклади загальної середньої освіти» ( </w:t>
      </w:r>
      <w:hyperlink r:id="rId5" w:tgtFrame="_blank" w:history="1">
        <w:r w:rsidRPr="00D04BC1">
          <w:rPr>
            <w:rFonts w:ascii="Arial" w:eastAsia="Times New Roman" w:hAnsi="Arial" w:cs="Arial"/>
            <w:color w:val="253B80"/>
            <w:sz w:val="21"/>
            <w:szCs w:val="21"/>
            <w:u w:val="single"/>
            <w:lang w:eastAsia="ru-RU"/>
          </w:rPr>
          <w:t>https://school.isuo.org/</w:t>
        </w:r>
      </w:hyperlink>
      <w:r w:rsidRPr="00D04BC1">
        <w:rPr>
          <w:rFonts w:ascii="Arial" w:eastAsia="Times New Roman" w:hAnsi="Arial" w:cs="Arial"/>
          <w:color w:val="727272"/>
          <w:sz w:val="21"/>
          <w:szCs w:val="21"/>
          <w:lang w:eastAsia="ru-RU"/>
        </w:rPr>
        <w:t>);</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1.2.  через </w:t>
      </w:r>
      <w:hyperlink r:id="rId6" w:history="1">
        <w:r w:rsidRPr="00D04BC1">
          <w:rPr>
            <w:rFonts w:ascii="Arial" w:eastAsia="Times New Roman" w:hAnsi="Arial" w:cs="Arial"/>
            <w:color w:val="253B80"/>
            <w:sz w:val="21"/>
            <w:szCs w:val="21"/>
            <w:u w:val="single"/>
            <w:lang w:eastAsia="ru-RU"/>
          </w:rPr>
          <w:t>електронну пошту закладу освіти</w:t>
        </w:r>
      </w:hyperlink>
      <w:r w:rsidRPr="00D04BC1">
        <w:rPr>
          <w:rFonts w:ascii="Arial" w:eastAsia="Times New Roman" w:hAnsi="Arial" w:cs="Arial"/>
          <w:color w:val="727272"/>
          <w:sz w:val="21"/>
          <w:szCs w:val="21"/>
          <w:lang w:eastAsia="ru-RU"/>
        </w:rPr>
        <w:t>.</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2.  Після зняття карантинних обмежень –  особисто.</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          На сайті «Інформаційної системи управління освітою. Україна. ІСУО» за посиланням  </w:t>
      </w:r>
      <w:hyperlink r:id="rId7" w:tgtFrame="_blank" w:history="1">
        <w:r w:rsidRPr="00D04BC1">
          <w:rPr>
            <w:rFonts w:ascii="Arial" w:eastAsia="Times New Roman" w:hAnsi="Arial" w:cs="Arial"/>
            <w:color w:val="253B80"/>
            <w:sz w:val="21"/>
            <w:szCs w:val="21"/>
            <w:u w:val="single"/>
            <w:lang w:eastAsia="ru-RU"/>
          </w:rPr>
          <w:t>https://school.isuo.org/</w:t>
        </w:r>
      </w:hyperlink>
      <w:r w:rsidRPr="00D04BC1">
        <w:rPr>
          <w:rFonts w:ascii="Arial" w:eastAsia="Times New Roman" w:hAnsi="Arial" w:cs="Arial"/>
          <w:color w:val="727272"/>
          <w:sz w:val="21"/>
          <w:szCs w:val="21"/>
          <w:lang w:eastAsia="ru-RU"/>
        </w:rPr>
        <w:t>  «Електронна реєстрація в заклади загальної середньої освіти» Ви маєте можливість подати заяву на вступ дитини до 1-го класу школи. Для цього необхідно зареєструватись на сайті, обрати заклад загальної середньої освіти (або декілька),  створити заявку та підтвердити її документами у закладі, дотримуючись інструкцій </w:t>
      </w:r>
      <w:hyperlink r:id="rId8" w:history="1">
        <w:r w:rsidRPr="00D04BC1">
          <w:rPr>
            <w:rFonts w:ascii="Arial" w:eastAsia="Times New Roman" w:hAnsi="Arial" w:cs="Arial"/>
            <w:color w:val="253B80"/>
            <w:sz w:val="21"/>
            <w:szCs w:val="21"/>
            <w:u w:val="single"/>
            <w:lang w:eastAsia="ru-RU"/>
          </w:rPr>
          <w:t>https://school.isuo.org/contact</w:t>
        </w:r>
      </w:hyperlink>
      <w:r w:rsidRPr="00D04BC1">
        <w:rPr>
          <w:rFonts w:ascii="Arial" w:eastAsia="Times New Roman" w:hAnsi="Arial" w:cs="Arial"/>
          <w:color w:val="727272"/>
          <w:sz w:val="21"/>
          <w:szCs w:val="21"/>
          <w:lang w:eastAsia="ru-RU"/>
        </w:rPr>
        <w:t>.</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          Заклади загальної середньої освіти  мають доступ до перегляду заяв та документів, їх опрацювання, підтвердження достовірності даних про дітей, формування списків для зарахування.</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          Звертаємо Вашу увагу, що залишається чинним Порядок зарахування, відрахування та переведення учнів до державних та комунальних закладів освіти для здобуття повної загальної середньої освіти (далі – Порядок), затверджений наказом Міністерства освіти і науки України від 16 квітня 2018 року № 367.</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          Для підтвердження електронної заяви та  зарахування дитини до 1-го класу одному з батьків  потрібно обов’язково </w:t>
      </w:r>
      <w:r w:rsidRPr="00D04BC1">
        <w:rPr>
          <w:rFonts w:ascii="Arial" w:eastAsia="Times New Roman" w:hAnsi="Arial" w:cs="Arial"/>
          <w:b/>
          <w:bCs/>
          <w:color w:val="727272"/>
          <w:sz w:val="21"/>
          <w:szCs w:val="21"/>
          <w:lang w:eastAsia="ru-RU"/>
        </w:rPr>
        <w:t>до 31 травня 2021 року</w:t>
      </w:r>
      <w:r w:rsidRPr="00D04BC1">
        <w:rPr>
          <w:rFonts w:ascii="Arial" w:eastAsia="Times New Roman" w:hAnsi="Arial" w:cs="Arial"/>
          <w:color w:val="727272"/>
          <w:sz w:val="21"/>
          <w:szCs w:val="21"/>
          <w:lang w:eastAsia="ru-RU"/>
        </w:rPr>
        <w:t> </w:t>
      </w:r>
      <w:r w:rsidRPr="00D04BC1">
        <w:rPr>
          <w:rFonts w:ascii="Arial" w:eastAsia="Times New Roman" w:hAnsi="Arial" w:cs="Arial"/>
          <w:b/>
          <w:bCs/>
          <w:color w:val="727272"/>
          <w:sz w:val="21"/>
          <w:szCs w:val="21"/>
          <w:lang w:eastAsia="ru-RU"/>
        </w:rPr>
        <w:t>звернутися до закладу освіти особисто</w:t>
      </w:r>
      <w:r w:rsidRPr="00D04BC1">
        <w:rPr>
          <w:rFonts w:ascii="Arial" w:eastAsia="Times New Roman" w:hAnsi="Arial" w:cs="Arial"/>
          <w:color w:val="727272"/>
          <w:sz w:val="21"/>
          <w:szCs w:val="21"/>
          <w:lang w:eastAsia="ru-RU"/>
        </w:rPr>
        <w:t> (з предявленням документа, що посвідчує особу заявника) та подати всі необхідні документи (оригінали та копії):</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           1) копію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           2)  медичну довідку за формою первинної облікової документації № 086-1/0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№794/18089.</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           У разі наявності та за бажанням одного з батьків дитини до заяви про зарахування може додаватися висновок інклюзивно-ресурсного центру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         Згідно з підпунктом 1 пункту 3 глави 1 розділу ІІ Порядку </w:t>
      </w:r>
      <w:r w:rsidRPr="00D04BC1">
        <w:rPr>
          <w:rFonts w:ascii="Arial" w:eastAsia="Times New Roman" w:hAnsi="Arial" w:cs="Arial"/>
          <w:b/>
          <w:bCs/>
          <w:color w:val="727272"/>
          <w:sz w:val="21"/>
          <w:szCs w:val="21"/>
          <w:lang w:eastAsia="ru-RU"/>
        </w:rPr>
        <w:t>до 01 червня включно</w:t>
      </w:r>
      <w:r w:rsidRPr="00D04BC1">
        <w:rPr>
          <w:rFonts w:ascii="Arial" w:eastAsia="Times New Roman" w:hAnsi="Arial" w:cs="Arial"/>
          <w:color w:val="727272"/>
          <w:sz w:val="21"/>
          <w:szCs w:val="21"/>
          <w:lang w:eastAsia="ru-RU"/>
        </w:rPr>
        <w:t>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        Порядок не визначає пріоритетність у зарахуванні дітей цих категорій.</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        Для </w:t>
      </w:r>
      <w:r w:rsidRPr="00D04BC1">
        <w:rPr>
          <w:rFonts w:ascii="Arial" w:eastAsia="Times New Roman" w:hAnsi="Arial" w:cs="Arial"/>
          <w:b/>
          <w:bCs/>
          <w:color w:val="727272"/>
          <w:sz w:val="21"/>
          <w:szCs w:val="21"/>
          <w:lang w:eastAsia="ru-RU"/>
        </w:rPr>
        <w:t> </w:t>
      </w:r>
      <w:r w:rsidRPr="00D04BC1">
        <w:rPr>
          <w:rFonts w:ascii="Arial" w:eastAsia="Times New Roman" w:hAnsi="Arial" w:cs="Arial"/>
          <w:color w:val="727272"/>
          <w:sz w:val="21"/>
          <w:szCs w:val="21"/>
          <w:lang w:eastAsia="ru-RU"/>
        </w:rPr>
        <w:t>першочерговості зарахування дітей, які проживають на території обслуговування,  батькам разом із переліченими вище документами </w:t>
      </w:r>
      <w:r w:rsidRPr="00D04BC1">
        <w:rPr>
          <w:rFonts w:ascii="Arial" w:eastAsia="Times New Roman" w:hAnsi="Arial" w:cs="Arial"/>
          <w:b/>
          <w:bCs/>
          <w:color w:val="727272"/>
          <w:sz w:val="21"/>
          <w:szCs w:val="21"/>
          <w:lang w:eastAsia="ru-RU"/>
        </w:rPr>
        <w:t>необхідно надати </w:t>
      </w:r>
      <w:r w:rsidRPr="00D04BC1">
        <w:rPr>
          <w:rFonts w:ascii="Arial" w:eastAsia="Times New Roman" w:hAnsi="Arial" w:cs="Arial"/>
          <w:color w:val="727272"/>
          <w:sz w:val="21"/>
          <w:szCs w:val="21"/>
          <w:lang w:eastAsia="ru-RU"/>
        </w:rPr>
        <w:t>в заклад  один із перелічених документів:</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lastRenderedPageBreak/>
        <w:t>        1)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        2) </w:t>
      </w:r>
      <w:hyperlink r:id="rId9" w:anchor="n177" w:tgtFrame="_blank" w:history="1">
        <w:r w:rsidRPr="00D04BC1">
          <w:rPr>
            <w:rFonts w:ascii="Arial" w:eastAsia="Times New Roman" w:hAnsi="Arial" w:cs="Arial"/>
            <w:color w:val="253B80"/>
            <w:sz w:val="21"/>
            <w:szCs w:val="21"/>
            <w:u w:val="single"/>
            <w:lang w:eastAsia="ru-RU"/>
          </w:rPr>
          <w:t>довідка про реєстрацію місця проживання особи</w:t>
        </w:r>
      </w:hyperlink>
      <w:r w:rsidRPr="00D04BC1">
        <w:rPr>
          <w:rFonts w:ascii="Arial" w:eastAsia="Times New Roman" w:hAnsi="Arial" w:cs="Arial"/>
          <w:color w:val="727272"/>
          <w:sz w:val="21"/>
          <w:szCs w:val="21"/>
          <w:lang w:eastAsia="ru-RU"/>
        </w:rPr>
        <w:t> (дитини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 № 207;</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         3) </w:t>
      </w:r>
      <w:hyperlink r:id="rId10" w:anchor="n53" w:tgtFrame="_blank" w:history="1">
        <w:r w:rsidRPr="00D04BC1">
          <w:rPr>
            <w:rFonts w:ascii="Arial" w:eastAsia="Times New Roman" w:hAnsi="Arial" w:cs="Arial"/>
            <w:color w:val="253B80"/>
            <w:sz w:val="21"/>
            <w:szCs w:val="21"/>
            <w:u w:val="single"/>
            <w:lang w:eastAsia="ru-RU"/>
          </w:rPr>
          <w:t>довідка про взяття на облік внутрішньо переміщеної особи</w:t>
        </w:r>
      </w:hyperlink>
      <w:r w:rsidRPr="00D04BC1">
        <w:rPr>
          <w:rFonts w:ascii="Arial" w:eastAsia="Times New Roman" w:hAnsi="Arial" w:cs="Arial"/>
          <w:color w:val="727272"/>
          <w:sz w:val="21"/>
          <w:szCs w:val="21"/>
          <w:lang w:eastAsia="ru-RU"/>
        </w:rPr>
        <w:t>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          4) 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          5)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          6)  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w:t>
      </w:r>
      <w:hyperlink r:id="rId11" w:tgtFrame="_blank" w:history="1">
        <w:r w:rsidRPr="00D04BC1">
          <w:rPr>
            <w:rFonts w:ascii="Arial" w:eastAsia="Times New Roman" w:hAnsi="Arial" w:cs="Arial"/>
            <w:color w:val="253B80"/>
            <w:sz w:val="21"/>
            <w:szCs w:val="21"/>
            <w:u w:val="single"/>
            <w:lang w:eastAsia="ru-RU"/>
          </w:rPr>
          <w:t>статті 158</w:t>
        </w:r>
      </w:hyperlink>
      <w:r w:rsidRPr="00D04BC1">
        <w:rPr>
          <w:rFonts w:ascii="Arial" w:eastAsia="Times New Roman" w:hAnsi="Arial" w:cs="Arial"/>
          <w:color w:val="727272"/>
          <w:sz w:val="21"/>
          <w:szCs w:val="21"/>
          <w:lang w:eastAsia="ru-RU"/>
        </w:rPr>
        <w:t>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           7)  </w:t>
      </w:r>
      <w:hyperlink r:id="rId12" w:anchor="n171" w:tgtFrame="_blank" w:history="1">
        <w:r w:rsidRPr="00D04BC1">
          <w:rPr>
            <w:rFonts w:ascii="Arial" w:eastAsia="Times New Roman" w:hAnsi="Arial" w:cs="Arial"/>
            <w:color w:val="253B80"/>
            <w:sz w:val="21"/>
            <w:szCs w:val="21"/>
            <w:u w:val="single"/>
            <w:lang w:eastAsia="ru-RU"/>
          </w:rPr>
          <w:t>довідка про проходження служби у військовій частині</w:t>
        </w:r>
      </w:hyperlink>
      <w:r w:rsidRPr="00D04BC1">
        <w:rPr>
          <w:rFonts w:ascii="Arial" w:eastAsia="Times New Roman" w:hAnsi="Arial" w:cs="Arial"/>
          <w:color w:val="727272"/>
          <w:sz w:val="21"/>
          <w:szCs w:val="21"/>
          <w:lang w:eastAsia="ru-RU"/>
        </w:rPr>
        <w:t> (за формою згідно з додатком 10 до Правил реєстрації місця проживання, затверджених постановою Кабінету Міністрів України від 2 березня 2016 р. № 207);</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           8) </w:t>
      </w:r>
      <w:hyperlink r:id="rId13" w:anchor="n377" w:tgtFrame="_blank" w:history="1">
        <w:r w:rsidRPr="00D04BC1">
          <w:rPr>
            <w:rFonts w:ascii="Arial" w:eastAsia="Times New Roman" w:hAnsi="Arial" w:cs="Arial"/>
            <w:color w:val="253B80"/>
            <w:sz w:val="21"/>
            <w:szCs w:val="21"/>
            <w:u w:val="single"/>
            <w:lang w:eastAsia="ru-RU"/>
          </w:rPr>
          <w:t>акт обстеження умов проживання</w:t>
        </w:r>
      </w:hyperlink>
      <w:r w:rsidRPr="00D04BC1">
        <w:rPr>
          <w:rFonts w:ascii="Arial" w:eastAsia="Times New Roman" w:hAnsi="Arial" w:cs="Arial"/>
          <w:color w:val="727272"/>
          <w:sz w:val="21"/>
          <w:szCs w:val="21"/>
          <w:lang w:eastAsia="ru-RU"/>
        </w:rPr>
        <w:t>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           9) інший офіційний документ, що містить інформацію про місце проживання дитини та/або одного з її батьків чи законних представників.</w:t>
      </w:r>
    </w:p>
    <w:p w:rsidR="00D04BC1" w:rsidRPr="00D04BC1" w:rsidRDefault="00D04BC1" w:rsidP="00D04BC1">
      <w:pPr>
        <w:shd w:val="clear" w:color="auto" w:fill="FFFFFF"/>
        <w:spacing w:after="225" w:line="240" w:lineRule="auto"/>
        <w:rPr>
          <w:rFonts w:ascii="Arial" w:eastAsia="Times New Roman" w:hAnsi="Arial" w:cs="Arial"/>
          <w:color w:val="727272"/>
          <w:sz w:val="21"/>
          <w:szCs w:val="21"/>
          <w:lang w:eastAsia="ru-RU"/>
        </w:rPr>
      </w:pPr>
      <w:r w:rsidRPr="00D04BC1">
        <w:rPr>
          <w:rFonts w:ascii="Arial" w:eastAsia="Times New Roman" w:hAnsi="Arial" w:cs="Arial"/>
          <w:color w:val="727272"/>
          <w:sz w:val="21"/>
          <w:szCs w:val="21"/>
          <w:lang w:eastAsia="ru-RU"/>
        </w:rPr>
        <w:t>        Закріплена за закладом територія обслуговування не обмежує право батьків подати заяву до будь-якого іншого закладу. Разом з тим, зарахування до інших закладів можливе лише за наявності вільних місць. Такі вільні місця можуть з’явитися в закладі освіти </w:t>
      </w:r>
      <w:r w:rsidRPr="00D04BC1">
        <w:rPr>
          <w:rFonts w:ascii="Arial" w:eastAsia="Times New Roman" w:hAnsi="Arial" w:cs="Arial"/>
          <w:b/>
          <w:bCs/>
          <w:color w:val="727272"/>
          <w:sz w:val="21"/>
          <w:szCs w:val="21"/>
          <w:lang w:eastAsia="ru-RU"/>
        </w:rPr>
        <w:t>після 01 червня,</w:t>
      </w:r>
      <w:r w:rsidRPr="00D04BC1">
        <w:rPr>
          <w:rFonts w:ascii="Arial" w:eastAsia="Times New Roman" w:hAnsi="Arial" w:cs="Arial"/>
          <w:color w:val="727272"/>
          <w:sz w:val="21"/>
          <w:szCs w:val="21"/>
          <w:lang w:eastAsia="ru-RU"/>
        </w:rPr>
        <w:t> коли будуть зараховані діти, які мають право на першочергове зарахування саме до цього закладу освіти.</w:t>
      </w:r>
    </w:p>
    <w:p w:rsidR="009F6879" w:rsidRPr="009F6879" w:rsidRDefault="009F6879">
      <w:pPr>
        <w:rPr>
          <w:lang w:val="uk-UA"/>
        </w:rPr>
      </w:pPr>
      <w:bookmarkStart w:id="0" w:name="_GoBack"/>
      <w:bookmarkEnd w:id="0"/>
    </w:p>
    <w:sectPr w:rsidR="009F6879" w:rsidRPr="009F6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50"/>
    <w:rsid w:val="000841E9"/>
    <w:rsid w:val="00785D83"/>
    <w:rsid w:val="009F6879"/>
    <w:rsid w:val="00D04BC1"/>
    <w:rsid w:val="00F24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6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6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isuo.org/contact" TargetMode="External"/><Relationship Id="rId13" Type="http://schemas.openxmlformats.org/officeDocument/2006/relationships/hyperlink" Target="https://zakon.rada.gov.ua/laws/show/866-2008-%D0%BF" TargetMode="External"/><Relationship Id="rId3" Type="http://schemas.openxmlformats.org/officeDocument/2006/relationships/settings" Target="settings.xml"/><Relationship Id="rId7" Type="http://schemas.openxmlformats.org/officeDocument/2006/relationships/hyperlink" Target="https://school.isuo.org/" TargetMode="External"/><Relationship Id="rId12" Type="http://schemas.openxmlformats.org/officeDocument/2006/relationships/hyperlink" Target="https://zakon.rada.gov.ua/laws/show/207-2016-%D0%B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svita.cv.ua/navchalni-zaklady/zaklady-zagalnoj-serednjoj-osvity/" TargetMode="External"/><Relationship Id="rId11" Type="http://schemas.openxmlformats.org/officeDocument/2006/relationships/hyperlink" Target="https://zakon.rada.gov.ua/laws/show/5464-10" TargetMode="External"/><Relationship Id="rId5" Type="http://schemas.openxmlformats.org/officeDocument/2006/relationships/hyperlink" Target="https://school.isuo.org/" TargetMode="External"/><Relationship Id="rId15" Type="http://schemas.openxmlformats.org/officeDocument/2006/relationships/theme" Target="theme/theme1.xml"/><Relationship Id="rId10" Type="http://schemas.openxmlformats.org/officeDocument/2006/relationships/hyperlink" Target="https://zakon.rada.gov.ua/laws/show/509-2014-%D0%BF" TargetMode="External"/><Relationship Id="rId4" Type="http://schemas.openxmlformats.org/officeDocument/2006/relationships/webSettings" Target="webSettings.xml"/><Relationship Id="rId9" Type="http://schemas.openxmlformats.org/officeDocument/2006/relationships/hyperlink" Target="https://zakon.rada.gov.ua/laws/show/207-2016-%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5918</Characters>
  <Application>Microsoft Office Word</Application>
  <DocSecurity>0</DocSecurity>
  <Lines>49</Lines>
  <Paragraphs>13</Paragraphs>
  <ScaleCrop>false</ScaleCrop>
  <Company>Microsoft</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2021-04-22T09:15:00Z</dcterms:created>
  <dcterms:modified xsi:type="dcterms:W3CDTF">2021-04-22T09:18:00Z</dcterms:modified>
</cp:coreProperties>
</file>