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1F" w:rsidRPr="001B2A1F" w:rsidRDefault="001B2A1F" w:rsidP="0005449A">
      <w:pPr>
        <w:spacing w:after="0" w:line="354" w:lineRule="atLeast"/>
        <w:ind w:left="436"/>
        <w:jc w:val="center"/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</w:pPr>
      <w:proofErr w:type="spellStart"/>
      <w:proofErr w:type="gramStart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Матер</w:t>
      </w:r>
      <w:proofErr w:type="gramEnd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іально-технічне</w:t>
      </w:r>
      <w:proofErr w:type="spellEnd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 xml:space="preserve"> </w:t>
      </w:r>
      <w:proofErr w:type="spellStart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забезпечення</w:t>
      </w:r>
      <w:proofErr w:type="spellEnd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 xml:space="preserve"> закладу </w:t>
      </w:r>
      <w:proofErr w:type="spellStart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освіти</w:t>
      </w:r>
      <w:proofErr w:type="spellEnd"/>
    </w:p>
    <w:p w:rsidR="0005449A" w:rsidRDefault="0005449A" w:rsidP="001B2A1F">
      <w:pPr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</w:pPr>
    </w:p>
    <w:p w:rsidR="001B2A1F" w:rsidRPr="0005449A" w:rsidRDefault="00586347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Pr="00586347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1/202</w:t>
      </w:r>
      <w:r w:rsidRPr="0058634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0544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адміністрацією школи </w:t>
      </w:r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проводилася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робота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іальної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матеріально-технічної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здійснювалося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кошті</w:t>
      </w:r>
      <w:proofErr w:type="gram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благодійної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2A1F" w:rsidRPr="0005449A" w:rsidRDefault="00586347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Батьками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ru-RU"/>
        </w:rPr>
        <w:t>імназії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«Вектор»</w:t>
      </w:r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надано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благодійну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B2A1F" w:rsidRPr="00794665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будівельних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товарі</w:t>
      </w:r>
      <w:proofErr w:type="gram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косметичного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ремонту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школи</w:t>
      </w:r>
      <w:proofErr w:type="spellEnd"/>
      <w:r w:rsidR="00794665" w:rsidRPr="007946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Матеріально-технічна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база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буді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землю,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49A">
        <w:rPr>
          <w:rFonts w:ascii="Times New Roman" w:hAnsi="Times New Roman" w:cs="Times New Roman"/>
          <w:sz w:val="28"/>
          <w:szCs w:val="28"/>
          <w:lang w:eastAsia="ru-RU"/>
        </w:rPr>
        <w:t>цінност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</w:t>
      </w:r>
      <w:r w:rsidRPr="0079466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база</w:t>
      </w:r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умова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6347">
        <w:rPr>
          <w:rFonts w:ascii="Times New Roman" w:hAnsi="Times New Roman" w:cs="Times New Roman"/>
          <w:sz w:val="28"/>
          <w:szCs w:val="28"/>
          <w:lang w:val="uk-UA" w:eastAsia="ru-RU"/>
        </w:rPr>
        <w:t>гімназії</w:t>
      </w:r>
      <w:r w:rsidR="00586347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="005863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«Вектор»</w:t>
      </w:r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цільової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946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Подальше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матеріально-технічного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сучасним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спортивним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обладнанням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інформаційно-технічними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навчально-виховну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культурні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спортивно-оздоровчі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заходи і т.д.</w:t>
      </w:r>
    </w:p>
    <w:p w:rsidR="001B2A1F" w:rsidRPr="00586347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ідтримка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63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гімназії </w:t>
      </w:r>
      <w:r w:rsidR="00586347"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 w:rsidR="005863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«Вектор»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одною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відображено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Законі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B2A1F" w:rsidRPr="00794665" w:rsidRDefault="00586347" w:rsidP="0005449A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Протягом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Pr="0058634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року за </w:t>
      </w:r>
      <w:proofErr w:type="spellStart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бюджетні</w:t>
      </w:r>
      <w:proofErr w:type="spellEnd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кошти</w:t>
      </w:r>
      <w:proofErr w:type="spellEnd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були</w:t>
      </w:r>
      <w:proofErr w:type="spellEnd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виконані</w:t>
      </w:r>
      <w:proofErr w:type="spellEnd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такі</w:t>
      </w:r>
      <w:proofErr w:type="spellEnd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основні</w:t>
      </w:r>
      <w:proofErr w:type="spellEnd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види</w:t>
      </w:r>
      <w:proofErr w:type="spellEnd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робі</w:t>
      </w:r>
      <w:proofErr w:type="gramStart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</w:t>
      </w:r>
      <w:proofErr w:type="spellEnd"/>
      <w:proofErr w:type="gramEnd"/>
      <w:r w:rsidR="001B2A1F"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1B2A1F" w:rsidRPr="00794665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·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вивіз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твердих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побутових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відходів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1B2A1F" w:rsidRPr="00794665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·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проведення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дератизації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1B2A1F" w:rsidRPr="00794665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· перезарядка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вогнегасникі</w:t>
      </w:r>
      <w:proofErr w:type="gram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spellEnd"/>
      <w:proofErr w:type="gram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05449A" w:rsidRPr="00794665" w:rsidRDefault="001B2A1F" w:rsidP="006A7848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·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придбання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матеріалів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енергозберігаючі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лампи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дезинфікуючий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засіб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="006A7848" w:rsidRPr="00794665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миючи </w:t>
      </w:r>
      <w:proofErr w:type="spellStart"/>
      <w:r w:rsidR="006A7848" w:rsidRPr="00794665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засоб</w:t>
      </w:r>
      <w:proofErr w:type="spellEnd"/>
      <w:proofErr w:type="gramStart"/>
      <w:r w:rsidR="006A7848" w:rsidRPr="00794665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,</w:t>
      </w:r>
      <w:proofErr w:type="gram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крейда</w:t>
      </w:r>
      <w:proofErr w:type="spellEnd"/>
      <w:r w:rsidRPr="00794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);</w:t>
      </w:r>
    </w:p>
    <w:p w:rsidR="00A9388E" w:rsidRDefault="00A9388E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Аналіз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стану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бази</w:t>
      </w:r>
      <w:proofErr w:type="spellEnd"/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</w:t>
      </w:r>
    </w:p>
    <w:tbl>
      <w:tblPr>
        <w:tblW w:w="15877" w:type="dxa"/>
        <w:tblInd w:w="-776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/>
      </w:tblPr>
      <w:tblGrid>
        <w:gridCol w:w="2364"/>
        <w:gridCol w:w="2315"/>
        <w:gridCol w:w="1559"/>
        <w:gridCol w:w="9639"/>
      </w:tblGrid>
      <w:tr w:rsidR="001B2A1F" w:rsidRPr="0005449A" w:rsidTr="00586347">
        <w:tc>
          <w:tcPr>
            <w:tcW w:w="236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будівель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231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забудови</w:t>
            </w:r>
            <w:proofErr w:type="spellEnd"/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96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ідсобних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</w:tr>
      <w:tr w:rsidR="001B2A1F" w:rsidRPr="0005449A" w:rsidTr="00586347">
        <w:tc>
          <w:tcPr>
            <w:tcW w:w="236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окремі буді</w:t>
            </w:r>
            <w:proofErr w:type="gramStart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вл</w:t>
            </w:r>
            <w:proofErr w:type="gramEnd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будівлі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споруд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задовільний</w:t>
            </w:r>
            <w:proofErr w:type="spellEnd"/>
          </w:p>
        </w:tc>
        <w:tc>
          <w:tcPr>
            <w:tcW w:w="231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6C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забудови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872.1969.</w:t>
            </w:r>
          </w:p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1982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586347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учня</w:t>
            </w:r>
            <w:proofErr w:type="spellEnd"/>
          </w:p>
        </w:tc>
        <w:tc>
          <w:tcPr>
            <w:tcW w:w="96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кабінетів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зала,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їдальня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кабінет інформатики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Стан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задвільний</w:t>
            </w:r>
            <w:proofErr w:type="spellEnd"/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технічний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</w:p>
    <w:tbl>
      <w:tblPr>
        <w:tblW w:w="16019" w:type="dxa"/>
        <w:tblInd w:w="-718" w:type="dxa"/>
        <w:tblBorders>
          <w:top w:val="single" w:sz="6" w:space="0" w:color="0184DF"/>
        </w:tblBorders>
        <w:shd w:val="clear" w:color="auto" w:fill="FAFDFF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2494"/>
        <w:gridCol w:w="9839"/>
      </w:tblGrid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характеристика</w:t>
            </w:r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Потребує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ремонту</w:t>
            </w: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поверхів</w:t>
            </w:r>
            <w:proofErr w:type="spellEnd"/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6A7848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A7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поверх</w:t>
            </w:r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ремонту; </w:t>
            </w: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Коридори</w:t>
            </w:r>
            <w:proofErr w:type="spellEnd"/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6C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коридор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учбового</w:t>
            </w:r>
            <w:proofErr w:type="spellEnd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корпусу 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</w:p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віконних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Всі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віконн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дверні блоки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замінені </w:t>
            </w: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Санвузли</w:t>
            </w:r>
            <w:proofErr w:type="spellEnd"/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Не потребують ремонту</w:t>
            </w: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Харчоблок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їдальня</w:t>
            </w:r>
            <w:proofErr w:type="spellEnd"/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6A7848" w:rsidRDefault="006A7848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Привозна їжа</w:t>
            </w: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ідсобні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приміщення</w:t>
            </w:r>
            <w:proofErr w:type="spellEnd"/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ідвал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Потреба в придбанні медичної шафи </w:t>
            </w: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кабінети</w:t>
            </w:r>
            <w:proofErr w:type="spellEnd"/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зала</w:t>
            </w:r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 зала</w:t>
            </w:r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586347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</w:t>
            </w:r>
            <w:proofErr w:type="spellEnd"/>
          </w:p>
        </w:tc>
        <w:tc>
          <w:tcPr>
            <w:tcW w:w="249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9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Покрівля</w:t>
      </w:r>
      <w:proofErr w:type="spellEnd"/>
    </w:p>
    <w:tbl>
      <w:tblPr>
        <w:tblW w:w="15877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/>
      </w:tblPr>
      <w:tblGrid>
        <w:gridCol w:w="3529"/>
        <w:gridCol w:w="3051"/>
        <w:gridCol w:w="9297"/>
      </w:tblGrid>
      <w:tr w:rsidR="0005449A" w:rsidRPr="0005449A" w:rsidTr="0005449A"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0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929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</w:tc>
      </w:tr>
      <w:tr w:rsidR="0005449A" w:rsidRPr="0005449A" w:rsidTr="0005449A"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6A78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М’яка</w:t>
            </w:r>
            <w:proofErr w:type="spellEnd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покрівля</w:t>
            </w:r>
            <w:proofErr w:type="spellEnd"/>
          </w:p>
        </w:tc>
        <w:tc>
          <w:tcPr>
            <w:tcW w:w="30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6A7848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(покриття </w:t>
            </w:r>
            <w:proofErr w:type="spellStart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сторіччної</w:t>
            </w:r>
            <w:proofErr w:type="spellEnd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давності)</w:t>
            </w:r>
          </w:p>
        </w:tc>
        <w:tc>
          <w:tcPr>
            <w:tcW w:w="929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794665" w:rsidP="0005449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Аварійна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,</w:t>
            </w:r>
            <w:r w:rsidR="001E46CF" w:rsidRPr="0005449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потребує капітального ремонту</w:t>
            </w:r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інженерних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мереж</w:t>
      </w:r>
    </w:p>
    <w:tbl>
      <w:tblPr>
        <w:tblW w:w="15877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/>
      </w:tblPr>
      <w:tblGrid>
        <w:gridCol w:w="3663"/>
        <w:gridCol w:w="2652"/>
        <w:gridCol w:w="3458"/>
        <w:gridCol w:w="6104"/>
      </w:tblGrid>
      <w:tr w:rsidR="0005449A" w:rsidRPr="0005449A" w:rsidTr="0005449A">
        <w:tc>
          <w:tcPr>
            <w:tcW w:w="366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Тепломережа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Водопостачання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водовідведення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Електромережа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610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Прилади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</w:tr>
      <w:tr w:rsidR="0005449A" w:rsidRPr="0005449A" w:rsidTr="0005449A">
        <w:tc>
          <w:tcPr>
            <w:tcW w:w="366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Централізована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Централізована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Централізована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610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</w:tr>
    </w:tbl>
    <w:p w:rsidR="00A9388E" w:rsidRDefault="00A9388E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A1F" w:rsidRPr="0005449A" w:rsidRDefault="00A9388E" w:rsidP="00A9388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="001B2A1F"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</w:p>
    <w:tbl>
      <w:tblPr>
        <w:tblW w:w="15877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/>
      </w:tblPr>
      <w:tblGrid>
        <w:gridCol w:w="4951"/>
        <w:gridCol w:w="2846"/>
        <w:gridCol w:w="8080"/>
      </w:tblGrid>
      <w:tr w:rsidR="0005449A" w:rsidRPr="0005449A" w:rsidTr="00A9388E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A1F" w:rsidRPr="00A9388E" w:rsidRDefault="00A9388E" w:rsidP="00A938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A1F" w:rsidRPr="0005449A" w:rsidRDefault="001B2A1F" w:rsidP="00A938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характеристика</w:t>
            </w:r>
          </w:p>
        </w:tc>
        <w:tc>
          <w:tcPr>
            <w:tcW w:w="808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A1F" w:rsidRPr="0005449A" w:rsidRDefault="001B2A1F" w:rsidP="00A938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 та потреба 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ремонті</w:t>
            </w:r>
            <w:proofErr w:type="spellEnd"/>
          </w:p>
        </w:tc>
      </w:tr>
      <w:tr w:rsidR="0005449A" w:rsidRPr="0005449A" w:rsidTr="00586347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території</w:t>
            </w:r>
            <w:proofErr w:type="spellEnd"/>
          </w:p>
        </w:tc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</w:tr>
      <w:tr w:rsidR="0005449A" w:rsidRPr="0005449A" w:rsidTr="00586347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асфальтобетонного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покриття</w:t>
            </w:r>
            <w:proofErr w:type="spellEnd"/>
          </w:p>
        </w:tc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140кв.м</w:t>
            </w:r>
          </w:p>
        </w:tc>
        <w:tc>
          <w:tcPr>
            <w:tcW w:w="808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</w:tr>
      <w:tr w:rsidR="0005449A" w:rsidRPr="0005449A" w:rsidTr="00586347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Сходи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 корпус</w:t>
            </w:r>
            <w:proofErr w:type="gramStart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А</w:t>
            </w:r>
            <w:proofErr w:type="gramEnd"/>
          </w:p>
        </w:tc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незадовільному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808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794665" w:rsidRDefault="001B2A1F" w:rsidP="0005449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proofErr w:type="spellStart"/>
            <w:r w:rsidRPr="007946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7946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46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капітального</w:t>
            </w:r>
            <w:proofErr w:type="spellEnd"/>
            <w:r w:rsidRPr="007946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ремонту</w:t>
            </w:r>
            <w:r w:rsidR="001E46CF" w:rsidRPr="0079466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та встановлення </w:t>
            </w:r>
            <w:r w:rsidR="00433119" w:rsidRPr="0079466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пандусу</w:t>
            </w:r>
            <w:bookmarkEnd w:id="0"/>
          </w:p>
        </w:tc>
      </w:tr>
      <w:tr w:rsidR="0005449A" w:rsidRPr="0005449A" w:rsidTr="00586347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Огорожа</w:t>
            </w:r>
          </w:p>
        </w:tc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</w:p>
        </w:tc>
        <w:tc>
          <w:tcPr>
            <w:tcW w:w="808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49A" w:rsidRPr="0005449A" w:rsidTr="00586347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насаджень</w:t>
            </w:r>
            <w:proofErr w:type="spellEnd"/>
          </w:p>
        </w:tc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08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49A" w:rsidRPr="0005449A" w:rsidTr="00586347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спил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кронування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дерев</w:t>
            </w:r>
          </w:p>
        </w:tc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Немає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потреби</w:t>
            </w:r>
          </w:p>
        </w:tc>
        <w:tc>
          <w:tcPr>
            <w:tcW w:w="808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кронування</w:t>
            </w:r>
            <w:proofErr w:type="spellEnd"/>
          </w:p>
        </w:tc>
      </w:tr>
      <w:tr w:rsidR="0005449A" w:rsidRPr="0005449A" w:rsidTr="00586347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Контейнери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вивозу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сміття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A7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контейнер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Стан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задовільний</w:t>
            </w:r>
            <w:proofErr w:type="spellEnd"/>
          </w:p>
        </w:tc>
        <w:tc>
          <w:tcPr>
            <w:tcW w:w="808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5449A" w:rsidRPr="0005449A" w:rsidTr="00586347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Майданчик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твердій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контейнери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сміття</w:t>
            </w:r>
            <w:proofErr w:type="spellEnd"/>
          </w:p>
        </w:tc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задовільний</w:t>
            </w:r>
            <w:proofErr w:type="spellEnd"/>
          </w:p>
        </w:tc>
        <w:tc>
          <w:tcPr>
            <w:tcW w:w="808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49A" w:rsidRPr="0005449A" w:rsidTr="00586347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Освітлення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стовпі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ламп 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функціональність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Територія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освітлена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</w:p>
        </w:tc>
        <w:tc>
          <w:tcPr>
            <w:tcW w:w="808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Оснащення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</w:t>
      </w:r>
    </w:p>
    <w:tbl>
      <w:tblPr>
        <w:tblW w:w="15735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/>
      </w:tblPr>
      <w:tblGrid>
        <w:gridCol w:w="2127"/>
        <w:gridCol w:w="7087"/>
        <w:gridCol w:w="6521"/>
      </w:tblGrid>
      <w:tr w:rsidR="001B2A1F" w:rsidRPr="0005449A" w:rsidTr="00A9388E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</w:p>
        </w:tc>
        <w:tc>
          <w:tcPr>
            <w:tcW w:w="708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</w:p>
        </w:tc>
        <w:tc>
          <w:tcPr>
            <w:tcW w:w="652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Потребує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заміни</w:t>
            </w:r>
            <w:proofErr w:type="spellEnd"/>
          </w:p>
        </w:tc>
      </w:tr>
      <w:tr w:rsidR="001B2A1F" w:rsidRPr="0005449A" w:rsidTr="00A9388E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Харчоблок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технологічне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господарчі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плита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електрична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водонагрівач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марміт</w:t>
            </w:r>
            <w:proofErr w:type="spellEnd"/>
            <w:proofErr w:type="gram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proofErr w:type="gram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ванна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для миття посуду .</w:t>
            </w:r>
          </w:p>
        </w:tc>
        <w:tc>
          <w:tcPr>
            <w:tcW w:w="652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Електроплита .</w:t>
            </w:r>
          </w:p>
          <w:p w:rsidR="00433119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Немає холодильника</w:t>
            </w:r>
          </w:p>
        </w:tc>
      </w:tr>
      <w:tr w:rsidR="001B2A1F" w:rsidRPr="0005449A" w:rsidTr="00A9388E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господарчі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6A7848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(ваги, кушетка,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скляною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кришкою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набором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щеплення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скляною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кришкою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засобами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невідкладної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ростомір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л,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таблиці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гостроти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зору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,).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препарати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потрібні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першої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Пирометри</w:t>
            </w:r>
            <w:proofErr w:type="gramStart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.Л</w:t>
            </w:r>
            <w:proofErr w:type="gramEnd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ампи</w:t>
            </w:r>
            <w:proofErr w:type="spellEnd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Медична шафа</w:t>
            </w:r>
          </w:p>
        </w:tc>
      </w:tr>
      <w:tr w:rsidR="001B2A1F" w:rsidRPr="0005449A" w:rsidTr="00A9388E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Господарчий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інвентар</w:t>
            </w:r>
            <w:proofErr w:type="spellEnd"/>
          </w:p>
        </w:tc>
        <w:tc>
          <w:tcPr>
            <w:tcW w:w="708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господарчим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інвентарем</w:t>
            </w:r>
            <w:proofErr w:type="spellEnd"/>
          </w:p>
        </w:tc>
        <w:tc>
          <w:tcPr>
            <w:tcW w:w="652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Віїрні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граблі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мітла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лопати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штікові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лопати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вбирання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снігу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відра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5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1B2A1F" w:rsidRPr="0005449A" w:rsidTr="00A9388E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(книги,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пристосоване.</w:t>
            </w:r>
          </w:p>
        </w:tc>
        <w:tc>
          <w:tcPr>
            <w:tcW w:w="652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A1F" w:rsidRPr="0005449A" w:rsidTr="00A9388E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іальне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меблі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забезпечені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необхідною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кількістю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меблями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кабінетів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мультимедійним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обладнанням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телевізорамим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й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ами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підключені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Інтернет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7848" w:rsidRDefault="006A7848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Висновки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задачі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ідставі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аналізу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стану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Сильні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сторони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зміцнення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Школа активно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впровадженням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інформаційно-комунікаційних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навчально-виховний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мультимедійного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яскравим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кабінети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шкільні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коридори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естетичний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заміні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старих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віконних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блоків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металопластикові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ідтримується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належний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температурний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режим;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енергозбереження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високому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(100 %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замінено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енергозберігаючі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лампи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100%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вогнегасників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проходять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технічне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іряються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кран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рукав);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водяться</w:t>
      </w:r>
      <w:proofErr w:type="spellEnd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заміри</w:t>
      </w:r>
      <w:proofErr w:type="spellEnd"/>
      <w:proofErr w:type="gramEnd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опору </w:t>
      </w:r>
      <w:proofErr w:type="spellStart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ізоляції</w:t>
      </w:r>
      <w:proofErr w:type="spellEnd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ідтримується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належному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Слабкі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сторони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зміцнення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35424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капітального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ремонту </w:t>
      </w:r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покрівля корпусу А та фасади </w:t>
      </w:r>
      <w:proofErr w:type="gramStart"/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>вс</w:t>
      </w:r>
      <w:proofErr w:type="gramEnd"/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іх </w:t>
      </w:r>
      <w:proofErr w:type="spellStart"/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>трех</w:t>
      </w:r>
      <w:proofErr w:type="spellEnd"/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корпусів!!</w:t>
      </w:r>
      <w:r w:rsidR="006A78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 може і будівництво нових корпусів!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Можливості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можливість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вирішення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питань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самотужки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Змійнення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іально-технічної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–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найголовніших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якісний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виховний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санітарно-гігієнічний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косметичні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ремонти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кабінетів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санвузлів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підсобних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частк</w:t>
      </w:r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>ово</w:t>
      </w:r>
      <w:proofErr w:type="spellEnd"/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>ремонтується</w:t>
      </w:r>
      <w:proofErr w:type="spellEnd"/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цоколь та </w:t>
      </w:r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>фасад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4.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Проблеми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питання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що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потребують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невідкладного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вирішення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).</w:t>
      </w:r>
    </w:p>
    <w:p w:rsidR="00A35424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невідкладного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Задачі</w:t>
      </w:r>
      <w:proofErr w:type="spellEnd"/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іально-технічної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умов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3. Максимально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надзвичайних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1B2A1F" w:rsidRPr="006A7848" w:rsidRDefault="006A7848" w:rsidP="0005449A">
      <w:pPr>
        <w:pStyle w:val="a5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Мікрорайон Гарячий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Урбан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в ст</w:t>
      </w:r>
      <w:r w:rsidRPr="006A7848">
        <w:rPr>
          <w:rFonts w:ascii="Times New Roman" w:hAnsi="Times New Roman" w:cs="Times New Roman"/>
          <w:b/>
          <w:sz w:val="32"/>
          <w:szCs w:val="32"/>
          <w:lang w:val="uk-UA" w:eastAsia="ru-RU"/>
        </w:rPr>
        <w:t>ані будівництва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.</w:t>
      </w:r>
      <w:r w:rsidR="00A9388E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Школи мікрорайону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(</w:t>
      </w:r>
      <w:r w:rsidR="00A9388E">
        <w:rPr>
          <w:rFonts w:ascii="Times New Roman" w:hAnsi="Times New Roman" w:cs="Times New Roman"/>
          <w:b/>
          <w:sz w:val="32"/>
          <w:szCs w:val="32"/>
          <w:lang w:val="uk-UA" w:eastAsia="ru-RU"/>
        </w:rPr>
        <w:t>гімназія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№</w:t>
      </w:r>
      <w:r w:rsidR="00A9388E">
        <w:rPr>
          <w:rFonts w:ascii="Times New Roman" w:hAnsi="Times New Roman" w:cs="Times New Roman"/>
          <w:b/>
          <w:sz w:val="32"/>
          <w:szCs w:val="32"/>
          <w:lang w:val="uk-UA" w:eastAsia="ru-RU"/>
        </w:rPr>
        <w:t>7 , гімназія №5 «Інтеграл») перевантаженні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.</w:t>
      </w:r>
      <w:r w:rsidR="00A9388E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Є пот</w:t>
      </w:r>
      <w:r w:rsidR="00A9388E">
        <w:rPr>
          <w:rFonts w:ascii="Times New Roman" w:hAnsi="Times New Roman" w:cs="Times New Roman"/>
          <w:b/>
          <w:sz w:val="32"/>
          <w:szCs w:val="32"/>
          <w:lang w:val="uk-UA" w:eastAsia="ru-RU"/>
        </w:rPr>
        <w:t>реба в реконструкції нашої гімназії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.</w:t>
      </w:r>
      <w:r w:rsidR="00A9388E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В Плані розвитку освітньої галузі нашу </w:t>
      </w:r>
      <w:r w:rsidR="00A9388E">
        <w:rPr>
          <w:rFonts w:ascii="Times New Roman" w:hAnsi="Times New Roman" w:cs="Times New Roman"/>
          <w:b/>
          <w:sz w:val="32"/>
          <w:szCs w:val="32"/>
          <w:lang w:val="uk-UA" w:eastAsia="ru-RU"/>
        </w:rPr>
        <w:t>гімназію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планують реорганізувати в навчальний заклад І-ІІІ </w:t>
      </w:r>
      <w:r w:rsidR="00A9388E">
        <w:rPr>
          <w:rFonts w:ascii="Times New Roman" w:hAnsi="Times New Roman" w:cs="Times New Roman"/>
          <w:b/>
          <w:sz w:val="32"/>
          <w:szCs w:val="32"/>
          <w:lang w:val="uk-UA" w:eastAsia="ru-RU"/>
        </w:rPr>
        <w:t>ст.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 з дошкільним підрозділом на 80 місць.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Реалізація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зазначеного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плану дозволить: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безпечні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сприятливі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повноцінної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Розвинути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спортивну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ігрову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базу для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надійну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розвинену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матеріально-технічну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базу,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комфортності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4. Привести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протипожежної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720387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5. Привести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санітарно-епідеміологічної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72038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1B81" w:rsidRPr="0005449A" w:rsidRDefault="00431B81">
      <w:pPr>
        <w:rPr>
          <w:rFonts w:ascii="Times New Roman" w:hAnsi="Times New Roman" w:cs="Times New Roman"/>
          <w:sz w:val="28"/>
          <w:szCs w:val="28"/>
        </w:rPr>
      </w:pPr>
    </w:p>
    <w:sectPr w:rsidR="00431B81" w:rsidRPr="0005449A" w:rsidSect="001B2A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0EE8"/>
    <w:multiLevelType w:val="multilevel"/>
    <w:tmpl w:val="367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F4025"/>
    <w:multiLevelType w:val="hybridMultilevel"/>
    <w:tmpl w:val="338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A1F"/>
    <w:rsid w:val="0005449A"/>
    <w:rsid w:val="001B2A1F"/>
    <w:rsid w:val="001E46CF"/>
    <w:rsid w:val="00431B81"/>
    <w:rsid w:val="00433119"/>
    <w:rsid w:val="00586347"/>
    <w:rsid w:val="006A7848"/>
    <w:rsid w:val="00720387"/>
    <w:rsid w:val="00794665"/>
    <w:rsid w:val="00A13B42"/>
    <w:rsid w:val="00A35424"/>
    <w:rsid w:val="00A9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4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44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007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53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48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05894">
                                      <w:marLeft w:val="0"/>
                                      <w:marRight w:val="0"/>
                                      <w:marTop w:val="0"/>
                                      <w:marBottom w:val="295"/>
                                      <w:divBdr>
                                        <w:top w:val="single" w:sz="6" w:space="6" w:color="0184DF"/>
                                        <w:left w:val="single" w:sz="6" w:space="11" w:color="0184DF"/>
                                        <w:bottom w:val="single" w:sz="6" w:space="6" w:color="0184DF"/>
                                        <w:right w:val="single" w:sz="6" w:space="26" w:color="0184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2021-01-05T10:10:00Z</cp:lastPrinted>
  <dcterms:created xsi:type="dcterms:W3CDTF">2021-01-05T09:08:00Z</dcterms:created>
  <dcterms:modified xsi:type="dcterms:W3CDTF">2023-01-17T11:56:00Z</dcterms:modified>
</cp:coreProperties>
</file>