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240"/>
        <w:ind w:left="460" w:hanging="0"/>
        <w:jc w:val="center"/>
        <w:rPr>
          <w:rFonts w:ascii="Helvetica" w:hAnsi="Helvetica" w:eastAsia="Times New Roman" w:cs="Helvetica"/>
          <w:color w:val="0B0706"/>
          <w:sz w:val="24"/>
          <w:szCs w:val="24"/>
        </w:rPr>
      </w:pPr>
      <w:r>
        <w:rPr>
          <w:rFonts w:eastAsia="Times New Roman" w:cs="Helvetica" w:ascii="Helvetica" w:hAnsi="Helvetica"/>
          <w:b/>
          <w:bCs/>
          <w:color w:val="0B0706"/>
          <w:sz w:val="24"/>
          <w:szCs w:val="24"/>
        </w:rPr>
        <w:t>Закон України "Про внесення змін до деяких законодавчих актів України щодо протидії булінгу (цькуванню)"</w:t>
      </w:r>
      <w:hyperlink r:id="rId2">
        <w:r>
          <w:rPr>
            <w:rFonts w:eastAsia="Times New Roman" w:cs="Helvetica" w:ascii="Helvetica" w:hAnsi="Helvetica"/>
            <w:color w:val="D85000"/>
            <w:sz w:val="24"/>
            <w:szCs w:val="24"/>
          </w:rPr>
          <w:t>https://zakon.rada.gov.ua/laws/show/2657-19</w:t>
        </w:r>
      </w:hyperlink>
    </w:p>
    <w:p>
      <w:pPr>
        <w:pStyle w:val="Normal"/>
        <w:shd w:val="clear" w:color="auto" w:fill="FFFFFF"/>
        <w:spacing w:lineRule="auto" w:line="240" w:before="240" w:after="240"/>
        <w:ind w:left="460" w:hanging="0"/>
        <w:jc w:val="center"/>
        <w:rPr>
          <w:rFonts w:ascii="Helvetica" w:hAnsi="Helvetica" w:eastAsia="Times New Roman" w:cs="Helvetica"/>
          <w:color w:val="0B0706"/>
          <w:sz w:val="24"/>
          <w:szCs w:val="24"/>
        </w:rPr>
      </w:pPr>
      <w:r>
        <w:rPr>
          <w:rFonts w:eastAsia="Times New Roman" w:cs="Helvetica" w:ascii="Helvetica" w:hAnsi="Helvetica"/>
          <w:b/>
          <w:bCs/>
          <w:color w:val="0B0706"/>
          <w:sz w:val="24"/>
          <w:szCs w:val="24"/>
        </w:rPr>
        <w:t>Процедура подання  (з дотриманням конфіденційності) заяви про випадки булінгу (цькування)</w:t>
      </w:r>
    </w:p>
    <w:p>
      <w:pPr>
        <w:pStyle w:val="Normal"/>
        <w:shd w:val="clear" w:color="auto" w:fill="FFFFFF"/>
        <w:spacing w:lineRule="auto" w:line="240" w:before="240" w:after="240"/>
        <w:ind w:left="714" w:hanging="0"/>
        <w:rPr>
          <w:rFonts w:ascii="Helvetica" w:hAnsi="Helvetica" w:eastAsia="Times New Roman" w:cs="Helvetica"/>
          <w:color w:val="0B0706"/>
          <w:sz w:val="24"/>
          <w:szCs w:val="24"/>
        </w:rPr>
      </w:pPr>
      <w:r>
        <w:rPr>
          <w:rFonts w:eastAsia="Times New Roman" w:cs="Helvetica" w:ascii="Helvetica" w:hAnsi="Helvetica"/>
          <w:color w:val="0B0706"/>
          <w:sz w:val="24"/>
          <w:szCs w:val="24"/>
        </w:rPr>
        <w:t>1.     Усі здобувачі освіти, педагогічні працівники закладу, батьки та інші учасники освітнього процесу повинні обов’язково повідомити директора навчального закладу про випадки булінгу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p>
      <w:pPr>
        <w:pStyle w:val="Normal"/>
        <w:shd w:val="clear" w:color="auto" w:fill="FFFFFF"/>
        <w:spacing w:lineRule="auto" w:line="240" w:before="240" w:after="240"/>
        <w:ind w:left="714" w:hanging="0"/>
        <w:rPr>
          <w:rFonts w:ascii="Helvetica" w:hAnsi="Helvetica" w:eastAsia="Times New Roman" w:cs="Helvetica"/>
          <w:color w:val="0B0706"/>
          <w:sz w:val="24"/>
          <w:szCs w:val="24"/>
        </w:rPr>
      </w:pPr>
      <w:r>
        <w:rPr>
          <w:rFonts w:eastAsia="Times New Roman" w:cs="Helvetica" w:ascii="Helvetica" w:hAnsi="Helvetica"/>
          <w:color w:val="0B0706"/>
          <w:sz w:val="24"/>
          <w:szCs w:val="24"/>
        </w:rPr>
        <w:t>2.     На ім’я директора закладу пишеться заява (конфіденційність гарантується) про випадок боулінгу (цькування).</w:t>
      </w:r>
    </w:p>
    <w:p>
      <w:pPr>
        <w:pStyle w:val="Normal"/>
        <w:shd w:val="clear" w:color="auto" w:fill="FFFFFF"/>
        <w:spacing w:lineRule="auto" w:line="240" w:before="240" w:after="240"/>
        <w:rPr>
          <w:rFonts w:ascii="Helvetica" w:hAnsi="Helvetica" w:eastAsia="Times New Roman" w:cs="Helvetica"/>
          <w:color w:val="0B0706"/>
          <w:sz w:val="24"/>
          <w:szCs w:val="24"/>
        </w:rPr>
      </w:pPr>
      <w:r>
        <w:rPr>
          <w:rFonts w:eastAsia="Times New Roman" w:cs="Helvetica" w:ascii="Helvetica" w:hAnsi="Helvetica"/>
          <w:color w:val="0B0706"/>
          <w:sz w:val="24"/>
          <w:szCs w:val="24"/>
        </w:rPr>
        <w:t xml:space="preserve">            </w:t>
      </w:r>
      <w:r>
        <w:rPr>
          <w:rFonts w:eastAsia="Times New Roman" w:cs="Helvetica" w:ascii="Helvetica" w:hAnsi="Helvetica"/>
          <w:color w:val="0B0706"/>
          <w:sz w:val="24"/>
          <w:szCs w:val="24"/>
        </w:rPr>
        <w:t>3.     Директор закладу видає наказ про проведення розслідування та створення комісії з розгляду випадку булінгу (цькування), скликає її засідання.</w:t>
      </w:r>
    </w:p>
    <w:p>
      <w:pPr>
        <w:pStyle w:val="Normal"/>
        <w:shd w:val="clear" w:color="auto" w:fill="FFFFFF"/>
        <w:spacing w:lineRule="auto" w:line="240" w:before="240" w:after="240"/>
        <w:rPr>
          <w:rFonts w:ascii="Helvetica" w:hAnsi="Helvetica" w:eastAsia="Times New Roman" w:cs="Helvetica"/>
          <w:color w:val="0B0706"/>
          <w:sz w:val="24"/>
          <w:szCs w:val="24"/>
        </w:rPr>
      </w:pPr>
      <w:r>
        <w:rPr>
          <w:rFonts w:eastAsia="Times New Roman" w:cs="Helvetica" w:ascii="Helvetica" w:hAnsi="Helvetica"/>
          <w:color w:val="0B0706"/>
          <w:sz w:val="24"/>
          <w:szCs w:val="24"/>
        </w:rPr>
        <w:t xml:space="preserve">            </w:t>
      </w:r>
      <w:r>
        <w:rPr>
          <w:rFonts w:eastAsia="Times New Roman" w:cs="Helvetica" w:ascii="Helvetica" w:hAnsi="Helvetica"/>
          <w:color w:val="0B0706"/>
          <w:sz w:val="24"/>
          <w:szCs w:val="24"/>
        </w:rPr>
        <w:t>4.     До складу такої комісії входять педагогічні працівники (у тому числі психолог, соціальний педагог), батьки постраждалого та булерів, керівник навчального закладу та інші зацікавлені особи.</w:t>
      </w:r>
    </w:p>
    <w:p>
      <w:pPr>
        <w:pStyle w:val="Normal"/>
        <w:shd w:val="clear" w:color="auto" w:fill="FFFFFF"/>
        <w:spacing w:lineRule="auto" w:line="240" w:before="240" w:after="240"/>
        <w:rPr>
          <w:rFonts w:ascii="Helvetica" w:hAnsi="Helvetica" w:eastAsia="Times New Roman" w:cs="Helvetica"/>
          <w:color w:val="0B0706"/>
          <w:sz w:val="24"/>
          <w:szCs w:val="24"/>
        </w:rPr>
      </w:pPr>
      <w:r>
        <w:rPr>
          <w:rFonts w:eastAsia="Times New Roman" w:cs="Helvetica" w:ascii="Helvetica" w:hAnsi="Helvetica"/>
          <w:color w:val="0B0706"/>
          <w:sz w:val="24"/>
          <w:szCs w:val="24"/>
        </w:rPr>
        <w:t xml:space="preserve">          </w:t>
      </w:r>
      <w:r>
        <w:rPr>
          <w:rFonts w:eastAsia="Times New Roman" w:cs="Helvetica" w:ascii="Helvetica" w:hAnsi="Helvetica"/>
          <w:color w:val="0B0706"/>
          <w:sz w:val="24"/>
          <w:szCs w:val="24"/>
        </w:rPr>
        <w:t>5.     Рішення комісії реєструються в окремому журналі, зберігаються в паперовому вигляді з оригіналами підписів усіх членів комісії.</w:t>
      </w:r>
    </w:p>
    <w:p>
      <w:pPr>
        <w:pStyle w:val="Normal"/>
        <w:shd w:val="clear" w:color="auto" w:fill="FFFFFF"/>
        <w:spacing w:lineRule="auto" w:line="240" w:before="240" w:after="240"/>
        <w:jc w:val="center"/>
        <w:rPr>
          <w:rFonts w:ascii="Helvetica" w:hAnsi="Helvetica" w:eastAsia="Times New Roman" w:cs="Helvetica"/>
          <w:color w:val="0B0706"/>
          <w:sz w:val="24"/>
          <w:szCs w:val="24"/>
        </w:rPr>
      </w:pPr>
      <w:r>
        <w:rPr>
          <w:rFonts w:eastAsia="Times New Roman" w:cs="Helvetica" w:ascii="Helvetica" w:hAnsi="Helvetica"/>
          <w:b/>
          <w:bCs/>
          <w:color w:val="0B0706"/>
          <w:sz w:val="24"/>
          <w:szCs w:val="24"/>
        </w:rPr>
        <w:t>Порядок реагування на доведені випадки булінгу (цькування) та відповідальність осіб, причетних до булінгу</w:t>
      </w:r>
    </w:p>
    <w:p>
      <w:pPr>
        <w:pStyle w:val="Normal"/>
        <w:numPr>
          <w:ilvl w:val="0"/>
          <w:numId w:val="1"/>
        </w:numPr>
        <w:shd w:val="clear" w:color="auto" w:fill="FFFFFF"/>
        <w:spacing w:lineRule="atLeast" w:line="300" w:beforeAutospacing="1" w:after="0"/>
        <w:ind w:left="375" w:hanging="360"/>
        <w:rPr>
          <w:rFonts w:ascii="Helvetica" w:hAnsi="Helvetica" w:eastAsia="Times New Roman" w:cs="Helvetica"/>
          <w:color w:val="0B0706"/>
          <w:sz w:val="24"/>
          <w:szCs w:val="24"/>
        </w:rPr>
      </w:pPr>
      <w:r>
        <w:rPr>
          <w:rFonts w:eastAsia="Times New Roman" w:cs="Helvetica" w:ascii="Helvetica" w:hAnsi="Helvetica"/>
          <w:color w:val="0B0706"/>
          <w:sz w:val="24"/>
          <w:szCs w:val="24"/>
        </w:rPr>
        <w:t>Директор закладу має розглянути звернення у встановленому порядку.</w:t>
      </w:r>
    </w:p>
    <w:p>
      <w:pPr>
        <w:pStyle w:val="Normal"/>
        <w:numPr>
          <w:ilvl w:val="0"/>
          <w:numId w:val="1"/>
        </w:numPr>
        <w:shd w:val="clear" w:color="auto" w:fill="FFFFFF"/>
        <w:spacing w:lineRule="atLeast" w:line="300" w:before="0" w:after="0"/>
        <w:ind w:left="375" w:hanging="360"/>
        <w:rPr>
          <w:rFonts w:ascii="Helvetica" w:hAnsi="Helvetica" w:eastAsia="Times New Roman" w:cs="Helvetica"/>
          <w:color w:val="0B0706"/>
          <w:sz w:val="24"/>
          <w:szCs w:val="24"/>
        </w:rPr>
      </w:pPr>
      <w:r>
        <w:rPr>
          <w:rFonts w:eastAsia="Times New Roman" w:cs="Helvetica" w:ascii="Helvetica" w:hAnsi="Helvetica"/>
          <w:color w:val="0B0706"/>
          <w:sz w:val="24"/>
          <w:szCs w:val="24"/>
        </w:rPr>
        <w:t>Директор закладу створює комісію з розгляду випадків булінгу, яка з’ясовує обставини булінгу.</w:t>
      </w:r>
    </w:p>
    <w:p>
      <w:pPr>
        <w:pStyle w:val="Normal"/>
        <w:numPr>
          <w:ilvl w:val="0"/>
          <w:numId w:val="1"/>
        </w:numPr>
        <w:shd w:val="clear" w:color="auto" w:fill="FFFFFF"/>
        <w:spacing w:lineRule="atLeast" w:line="300" w:before="0" w:after="0"/>
        <w:ind w:left="375" w:hanging="360"/>
        <w:rPr>
          <w:rFonts w:ascii="Helvetica" w:hAnsi="Helvetica" w:eastAsia="Times New Roman" w:cs="Helvetica"/>
          <w:color w:val="0B0706"/>
          <w:sz w:val="24"/>
          <w:szCs w:val="24"/>
        </w:rPr>
      </w:pPr>
      <w:r>
        <w:rPr>
          <w:rFonts w:eastAsia="Times New Roman" w:cs="Helvetica" w:ascii="Helvetica" w:hAnsi="Helvetica"/>
          <w:color w:val="0B0706"/>
          <w:sz w:val="24"/>
          <w:szCs w:val="24"/>
        </w:rPr>
        <w:t>Якщо комісія визнала, що це був булінг, а не одноразовий конфлікт, то директор ліцею повідомляє уповноважені підрозділи органів Національної поліції України та Службу у справах дітей.</w:t>
      </w:r>
    </w:p>
    <w:p>
      <w:pPr>
        <w:pStyle w:val="Normal"/>
        <w:numPr>
          <w:ilvl w:val="0"/>
          <w:numId w:val="1"/>
        </w:numPr>
        <w:shd w:val="clear" w:color="auto" w:fill="FFFFFF"/>
        <w:spacing w:lineRule="atLeast" w:line="300" w:before="0" w:afterAutospacing="1"/>
        <w:ind w:left="375" w:hanging="360"/>
        <w:rPr>
          <w:rFonts w:ascii="Helvetica" w:hAnsi="Helvetica" w:eastAsia="Times New Roman" w:cs="Helvetica"/>
          <w:color w:val="0B0706"/>
          <w:sz w:val="24"/>
          <w:szCs w:val="24"/>
        </w:rPr>
      </w:pPr>
      <w:r>
        <w:rPr>
          <w:rFonts w:eastAsia="Times New Roman" w:cs="Helvetica" w:ascii="Helvetica" w:hAnsi="Helvetica"/>
          <w:color w:val="0B0706"/>
          <w:sz w:val="24"/>
          <w:szCs w:val="24"/>
        </w:rPr>
        <w:t>Особи, які за результатами розслідування є причетними до булінгу, несуть відповідальність відповідно до частини другої статті 13 (вчинення правопорушень за статтею 1734) Кодексу України про адміністративні правопорушення.</w:t>
      </w:r>
    </w:p>
    <w:p>
      <w:pPr>
        <w:pStyle w:val="Normal"/>
        <w:rPr>
          <w:lang w:val="uk-UA"/>
        </w:rPr>
      </w:pPr>
      <w:r>
        <w:rPr>
          <w:lang w:val="uk-UA"/>
        </w:rPr>
      </w:r>
    </w:p>
    <w:p>
      <w:pPr>
        <w:pStyle w:val="Normal"/>
        <w:rPr>
          <w:lang w:val="uk-UA"/>
        </w:rPr>
      </w:pPr>
      <w:r>
        <w:rPr>
          <w:lang w:val="uk-UA"/>
        </w:rPr>
      </w:r>
    </w:p>
    <w:p>
      <w:pPr>
        <w:pStyle w:val="Normal"/>
        <w:widowControl/>
        <w:bidi w:val="0"/>
        <w:spacing w:lineRule="auto" w:line="276" w:before="0" w:after="200"/>
        <w:ind w:hanging="0"/>
        <w:jc w:val="left"/>
        <w:rPr/>
      </w:pPr>
      <w:r>
        <w:rPr/>
      </w:r>
    </w:p>
    <w:sectPr>
      <w:type w:val="nextPage"/>
      <w:pgSz w:orient="landscape" w:w="16838" w:h="11906"/>
      <w:pgMar w:left="1134" w:right="1134" w:gutter="0" w:header="0" w:top="1701"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Helvetica">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0a33"/>
    <w:pPr>
      <w:widowControl/>
      <w:bidi w:val="0"/>
      <w:spacing w:lineRule="auto" w:line="276" w:before="0" w:after="200"/>
      <w:ind w:hanging="0"/>
      <w:jc w:val="left"/>
    </w:pPr>
    <w:rPr>
      <w:rFonts w:eastAsia="" w:eastAsiaTheme="minorEastAsia" w:ascii="Calibri" w:hAnsi="Calibri" w:cs=""/>
      <w:color w:val="auto"/>
      <w:kern w:val="0"/>
      <w:sz w:val="22"/>
      <w:szCs w:val="22"/>
      <w:lang w:eastAsia="ru-RU" w:val="ru-RU" w:bidi="ar-SA"/>
    </w:rPr>
  </w:style>
  <w:style w:type="character" w:styleId="DefaultParagraphFont" w:default="1">
    <w:name w:val="Default Paragraph Font"/>
    <w:uiPriority w:val="1"/>
    <w:semiHidden/>
    <w:unhideWhenUsed/>
    <w:qFormat/>
    <w:rPr/>
  </w:style>
  <w:style w:type="character" w:styleId="Style14">
    <w:name w:val="Гіперпосилання"/>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Покажчик"/>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2657-19"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LibreOffice/7.2.2.2$Windows_X86_64 LibreOffice_project/02b2acce88a210515b4a5bb2e46cbfb63fe97d56</Application>
  <AppVersion>15.0000</AppVersion>
  <Pages>2</Pages>
  <Words>239</Words>
  <Characters>1639</Characters>
  <CharactersWithSpaces>1917</CharactersWithSpaces>
  <Paragraphs>12</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2021-11-03T10:16:00Z</dcterms:created>
  <dc:creator>user</dc:creator>
  <dc:description/>
  <dc:language>uk-UA</dc:language>
  <cp:lastModifiedBy>user</cp:lastModifiedBy>
  <dcterms:modified xsi:type="dcterms:W3CDTF">2021-11-03T10:16:00Z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