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C" w:rsidRPr="00B34EB8" w:rsidRDefault="00EF748C" w:rsidP="00EF748C">
      <w:pPr>
        <w:ind w:firstLine="180"/>
        <w:jc w:val="both"/>
        <w:rPr>
          <w:i/>
          <w:sz w:val="24"/>
          <w:szCs w:val="24"/>
        </w:rPr>
      </w:pPr>
      <w:r w:rsidRPr="00B34EB8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553"/>
        <w:tblOverlap w:val="never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35"/>
        <w:gridCol w:w="3061"/>
        <w:gridCol w:w="1379"/>
        <w:gridCol w:w="3313"/>
        <w:gridCol w:w="3061"/>
      </w:tblGrid>
      <w:tr w:rsidR="00EF748C" w:rsidRPr="00B34EB8" w:rsidTr="00B73FA1">
        <w:trPr>
          <w:trHeight w:val="415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061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b/>
                <w:sz w:val="22"/>
                <w:szCs w:val="22"/>
                <w:lang w:eastAsia="en-US"/>
              </w:rPr>
              <w:t>ПЕРЕМОЖЦІ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b/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3313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b/>
                <w:sz w:val="22"/>
                <w:szCs w:val="22"/>
                <w:lang w:eastAsia="en-US"/>
              </w:rPr>
              <w:t>МІСЦЕ</w:t>
            </w:r>
          </w:p>
        </w:tc>
        <w:tc>
          <w:tcPr>
            <w:tcW w:w="3061" w:type="dxa"/>
            <w:shd w:val="clear" w:color="auto" w:fill="BDD6EE"/>
          </w:tcPr>
          <w:p w:rsidR="00EF748C" w:rsidRPr="00B34EB8" w:rsidRDefault="00EF748C" w:rsidP="00B73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b/>
                <w:sz w:val="22"/>
                <w:szCs w:val="22"/>
                <w:lang w:eastAsia="en-US"/>
              </w:rPr>
              <w:t>ВЧИТЕЛЬ</w:t>
            </w:r>
          </w:p>
        </w:tc>
      </w:tr>
      <w:tr w:rsidR="00EF748C" w:rsidRPr="00B34EB8" w:rsidTr="00B73FA1">
        <w:trPr>
          <w:trHeight w:val="261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Українська мова та література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Савченко Артур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3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Побочій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EF748C" w:rsidRPr="00B34EB8" w:rsidTr="00B73FA1">
        <w:trPr>
          <w:trHeight w:val="244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МАН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Савченко Артур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3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Михайлов М.В.</w:t>
            </w:r>
          </w:p>
        </w:tc>
      </w:tr>
      <w:tr w:rsidR="00EF748C" w:rsidRPr="00B34EB8" w:rsidTr="00B73FA1">
        <w:trPr>
          <w:trHeight w:hRule="exact" w:val="1035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ІХ Міжнародний 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мовно – літературний конкурс  учнівської  та студентської молоді ім. 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Т.Г.Шевченка</w:t>
            </w:r>
            <w:proofErr w:type="spellEnd"/>
          </w:p>
        </w:tc>
        <w:tc>
          <w:tcPr>
            <w:tcW w:w="3061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Босенко Олександр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Чернявська К.О.</w:t>
            </w:r>
          </w:p>
        </w:tc>
      </w:tr>
      <w:tr w:rsidR="00EF748C" w:rsidRPr="00B34EB8" w:rsidTr="00B73FA1">
        <w:trPr>
          <w:trHeight w:val="117"/>
        </w:trPr>
        <w:tc>
          <w:tcPr>
            <w:tcW w:w="4035" w:type="dxa"/>
            <w:vMerge w:val="restart"/>
            <w:shd w:val="clear" w:color="auto" w:fill="BDD6EE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Поетичний конкурс 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«Зерна доброти»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Кириченко Дарина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Петрусенко Л.Ш.</w:t>
            </w:r>
          </w:p>
        </w:tc>
      </w:tr>
      <w:tr w:rsidR="00EF748C" w:rsidRPr="00B34EB8" w:rsidTr="00B73FA1">
        <w:trPr>
          <w:trHeight w:hRule="exact" w:val="261"/>
        </w:trPr>
        <w:tc>
          <w:tcPr>
            <w:tcW w:w="4035" w:type="dxa"/>
            <w:vMerge/>
            <w:shd w:val="clear" w:color="auto" w:fill="BDD6EE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Нестерук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Андрій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Петрусенко Л.Ш.</w:t>
            </w:r>
          </w:p>
        </w:tc>
      </w:tr>
      <w:tr w:rsidR="00EF748C" w:rsidRPr="00B34EB8" w:rsidTr="00B73FA1">
        <w:trPr>
          <w:trHeight w:val="321"/>
        </w:trPr>
        <w:tc>
          <w:tcPr>
            <w:tcW w:w="4035" w:type="dxa"/>
            <w:vMerge w:val="restart"/>
            <w:shd w:val="clear" w:color="auto" w:fill="BDD6EE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Літературно-мистецькі свята, присвячених Шевченківським дням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Гольонко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Устина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Лауреат (номінація «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Квілінг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Власова В.М.</w:t>
            </w:r>
          </w:p>
        </w:tc>
      </w:tr>
      <w:tr w:rsidR="00EF748C" w:rsidRPr="00B34EB8" w:rsidTr="00B73FA1">
        <w:trPr>
          <w:trHeight w:val="305"/>
        </w:trPr>
        <w:tc>
          <w:tcPr>
            <w:tcW w:w="4035" w:type="dxa"/>
            <w:vMerge/>
            <w:shd w:val="clear" w:color="auto" w:fill="BDD6EE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Борук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Мар’яна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 (номінація «Образотворче мистецтво. Вітражі»)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Іванченко А.О.</w:t>
            </w:r>
          </w:p>
        </w:tc>
      </w:tr>
      <w:tr w:rsidR="00EF748C" w:rsidRPr="00B34EB8" w:rsidTr="00B73FA1">
        <w:trPr>
          <w:trHeight w:val="351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Кириченко Дарина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Лауреат (номінація 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«Власні твори»)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Петрусенко Л.Ш.</w:t>
            </w:r>
          </w:p>
        </w:tc>
      </w:tr>
      <w:tr w:rsidR="00EF748C" w:rsidRPr="00B34EB8" w:rsidTr="00B73FA1">
        <w:trPr>
          <w:trHeight w:val="669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Шкільний ансамбль «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Song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shd w:val="clear" w:color="auto" w:fill="FFFFFF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 (номінація «Пісенне виконання. Ансамблі»)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Нестерук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EF748C" w:rsidRPr="00B34EB8" w:rsidTr="00B73FA1">
        <w:trPr>
          <w:trHeight w:val="530"/>
        </w:trPr>
        <w:tc>
          <w:tcPr>
            <w:tcW w:w="4035" w:type="dxa"/>
            <w:vMerge w:val="restart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Арт-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фест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«Майстерність рук, майстерність серця»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Нагорна Ірина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  (номінація «Власні твори. Вірші»)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Петрусенко Л.Ш.</w:t>
            </w:r>
          </w:p>
        </w:tc>
      </w:tr>
      <w:tr w:rsidR="00EF748C" w:rsidRPr="00B34EB8" w:rsidTr="00B73FA1">
        <w:trPr>
          <w:trHeight w:val="355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Гольонко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Устина та 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Гольонко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Дарина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номінаці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«Дуети»)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Нестерук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EF748C" w:rsidRPr="00B34EB8" w:rsidTr="00B73FA1">
        <w:trPr>
          <w:trHeight w:val="404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Театр мод «Ексклюзив»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1-8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ІІ (номінація 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«Театр мод»)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Побочій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Нестерук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Л.О., Іванченко А.О.</w:t>
            </w:r>
          </w:p>
        </w:tc>
      </w:tr>
      <w:tr w:rsidR="00EF748C" w:rsidRPr="00B34EB8" w:rsidTr="00B73FA1">
        <w:trPr>
          <w:trHeight w:val="277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Борук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Мар’яна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 (номінація «Образотворче мистецтво». «Вітражі»)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Іванченко А.О.</w:t>
            </w:r>
          </w:p>
        </w:tc>
      </w:tr>
      <w:tr w:rsidR="00EF748C" w:rsidRPr="00B34EB8" w:rsidTr="00B73FA1">
        <w:trPr>
          <w:trHeight w:val="506"/>
        </w:trPr>
        <w:tc>
          <w:tcPr>
            <w:tcW w:w="4035" w:type="dxa"/>
            <w:vMerge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Колектив гуртка «Основи петриківського розпису»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 (номінація «Образотворче мистецтво»)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Іванченко А.О.</w:t>
            </w:r>
          </w:p>
        </w:tc>
      </w:tr>
      <w:tr w:rsidR="00EF748C" w:rsidRPr="00B34EB8" w:rsidTr="00B73FA1">
        <w:trPr>
          <w:trHeight w:val="235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Спортивні змагання з міні-футболу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Збірна команда хлопчиків 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Рибник Р.А.</w:t>
            </w:r>
          </w:p>
        </w:tc>
      </w:tr>
      <w:tr w:rsidR="00EF748C" w:rsidRPr="00B34EB8" w:rsidTr="00B73FA1">
        <w:trPr>
          <w:trHeight w:val="536"/>
        </w:trPr>
        <w:tc>
          <w:tcPr>
            <w:tcW w:w="4035" w:type="dxa"/>
            <w:shd w:val="clear" w:color="auto" w:fill="BDD6EE"/>
            <w:vAlign w:val="center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Всеукраїнська військово-патріотична гра «Сокіл» («Джура»)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Рій «Хортиця»</w:t>
            </w:r>
          </w:p>
        </w:tc>
        <w:tc>
          <w:tcPr>
            <w:tcW w:w="1379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3313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3061" w:type="dxa"/>
            <w:shd w:val="clear" w:color="auto" w:fill="FFFFFF"/>
          </w:tcPr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4EB8">
              <w:rPr>
                <w:rFonts w:eastAsia="Calibri"/>
                <w:sz w:val="22"/>
                <w:szCs w:val="22"/>
                <w:lang w:eastAsia="en-US"/>
              </w:rPr>
              <w:t>Рибник Р.А.,</w:t>
            </w:r>
          </w:p>
          <w:p w:rsidR="00EF748C" w:rsidRPr="00B34EB8" w:rsidRDefault="00EF748C" w:rsidP="00B73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4EB8">
              <w:rPr>
                <w:rFonts w:eastAsia="Calibri"/>
                <w:sz w:val="22"/>
                <w:szCs w:val="22"/>
                <w:lang w:eastAsia="en-US"/>
              </w:rPr>
              <w:t>Нестерук</w:t>
            </w:r>
            <w:proofErr w:type="spellEnd"/>
            <w:r w:rsidRPr="00B34EB8">
              <w:rPr>
                <w:rFonts w:eastAsia="Calibri"/>
                <w:sz w:val="22"/>
                <w:szCs w:val="22"/>
                <w:lang w:eastAsia="en-US"/>
              </w:rPr>
              <w:t xml:space="preserve"> Л.О.</w:t>
            </w:r>
          </w:p>
        </w:tc>
      </w:tr>
    </w:tbl>
    <w:p w:rsidR="00EF748C" w:rsidRPr="00B34EB8" w:rsidRDefault="00EF748C" w:rsidP="00EF748C">
      <w:pPr>
        <w:widowControl w:val="0"/>
        <w:rPr>
          <w:color w:val="000000"/>
          <w:kern w:val="28"/>
          <w:sz w:val="24"/>
          <w:szCs w:val="24"/>
        </w:rPr>
      </w:pPr>
    </w:p>
    <w:p w:rsidR="00EF748C" w:rsidRPr="00B34EB8" w:rsidRDefault="00EF748C" w:rsidP="00EF748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B34EB8">
        <w:rPr>
          <w:rFonts w:eastAsia="Calibri"/>
          <w:b/>
          <w:sz w:val="24"/>
          <w:szCs w:val="24"/>
          <w:lang w:eastAsia="en-US"/>
        </w:rPr>
        <w:t xml:space="preserve">Щорічно учні школи беруть активну участь у різних  Міжнародних та Всеукраїнських конкурсах, а саме: </w:t>
      </w:r>
    </w:p>
    <w:p w:rsidR="00EF748C" w:rsidRPr="00B34EB8" w:rsidRDefault="00EF748C" w:rsidP="00EF748C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4EB8">
        <w:rPr>
          <w:rFonts w:eastAsia="Calibri"/>
          <w:sz w:val="24"/>
          <w:szCs w:val="24"/>
          <w:lang w:eastAsia="en-US"/>
        </w:rPr>
        <w:t>Міжнародна природознавча гра «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Геліантус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» де  переможцями стали: Босенко Ярослав, Салій Максим,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Дзененко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Марина (3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Нестерук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Андрій, Бондаренко Христина (4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Мамиш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Ростислав,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Коробенко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В’ячеслава, Павлик Олександра (5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.), Босенко Олександр,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Коробенко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Аліна, Письменний Богдан, Копилець Дмитро,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Гольонко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 Дар’я (6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.), Кириченко Дарина (7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.), Кириченко Софія, Прудніков Дмитро (8 </w:t>
      </w:r>
      <w:proofErr w:type="spellStart"/>
      <w:r w:rsidRPr="00B34EB8">
        <w:rPr>
          <w:rFonts w:eastAsia="Calibri"/>
          <w:sz w:val="24"/>
          <w:szCs w:val="24"/>
          <w:lang w:eastAsia="en-US"/>
        </w:rPr>
        <w:t>кл</w:t>
      </w:r>
      <w:proofErr w:type="spellEnd"/>
      <w:r w:rsidRPr="00B34EB8">
        <w:rPr>
          <w:rFonts w:eastAsia="Calibri"/>
          <w:sz w:val="24"/>
          <w:szCs w:val="24"/>
          <w:lang w:eastAsia="en-US"/>
        </w:rPr>
        <w:t xml:space="preserve">.). </w:t>
      </w:r>
    </w:p>
    <w:p w:rsidR="00EF748C" w:rsidRPr="00B34EB8" w:rsidRDefault="00EF748C" w:rsidP="00EF748C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color w:val="000000"/>
          <w:sz w:val="24"/>
          <w:szCs w:val="24"/>
        </w:rPr>
      </w:pPr>
      <w:r w:rsidRPr="00B34EB8">
        <w:rPr>
          <w:rFonts w:eastAsia="Calibri"/>
          <w:sz w:val="24"/>
          <w:szCs w:val="24"/>
          <w:lang w:eastAsia="en-US"/>
        </w:rPr>
        <w:lastRenderedPageBreak/>
        <w:t>Всеукраїнська математична гра «Кенгуру» де переможцями стали: 3</w:t>
      </w:r>
      <w:r w:rsidRPr="00B34EB8">
        <w:rPr>
          <w:color w:val="000000"/>
          <w:sz w:val="24"/>
          <w:szCs w:val="24"/>
        </w:rPr>
        <w:t xml:space="preserve"> клас – </w:t>
      </w:r>
      <w:proofErr w:type="spellStart"/>
      <w:r w:rsidRPr="00B34EB8">
        <w:rPr>
          <w:color w:val="000000"/>
          <w:sz w:val="24"/>
          <w:szCs w:val="24"/>
        </w:rPr>
        <w:t>Різниченко</w:t>
      </w:r>
      <w:proofErr w:type="spellEnd"/>
      <w:r w:rsidRPr="00B34EB8">
        <w:rPr>
          <w:color w:val="000000"/>
          <w:sz w:val="24"/>
          <w:szCs w:val="24"/>
        </w:rPr>
        <w:t xml:space="preserve"> Ярослав, Салій Максим, Босенко Ярослав; 5 клас – </w:t>
      </w:r>
      <w:proofErr w:type="spellStart"/>
      <w:r w:rsidRPr="00B34EB8">
        <w:rPr>
          <w:color w:val="000000"/>
          <w:sz w:val="24"/>
          <w:szCs w:val="24"/>
        </w:rPr>
        <w:t>Коробенко</w:t>
      </w:r>
      <w:proofErr w:type="spellEnd"/>
      <w:r w:rsidRPr="00B34EB8">
        <w:rPr>
          <w:color w:val="000000"/>
          <w:sz w:val="24"/>
          <w:szCs w:val="24"/>
        </w:rPr>
        <w:t xml:space="preserve"> </w:t>
      </w:r>
      <w:proofErr w:type="spellStart"/>
      <w:r w:rsidRPr="00B34EB8">
        <w:rPr>
          <w:color w:val="000000"/>
          <w:sz w:val="24"/>
          <w:szCs w:val="24"/>
        </w:rPr>
        <w:t>Вячеслава</w:t>
      </w:r>
      <w:proofErr w:type="spellEnd"/>
      <w:r w:rsidRPr="00B34EB8">
        <w:rPr>
          <w:color w:val="000000"/>
          <w:sz w:val="24"/>
          <w:szCs w:val="24"/>
        </w:rPr>
        <w:t xml:space="preserve">, Павлик Олександра, </w:t>
      </w:r>
      <w:proofErr w:type="spellStart"/>
      <w:r w:rsidRPr="00B34EB8">
        <w:rPr>
          <w:color w:val="000000"/>
          <w:sz w:val="24"/>
          <w:szCs w:val="24"/>
        </w:rPr>
        <w:t>Мамиш</w:t>
      </w:r>
      <w:proofErr w:type="spellEnd"/>
      <w:r w:rsidRPr="00B34EB8">
        <w:rPr>
          <w:color w:val="000000"/>
          <w:sz w:val="24"/>
          <w:szCs w:val="24"/>
        </w:rPr>
        <w:t xml:space="preserve"> Ростислав; 6 клас – </w:t>
      </w:r>
      <w:proofErr w:type="spellStart"/>
      <w:r w:rsidRPr="00B34EB8">
        <w:rPr>
          <w:color w:val="000000"/>
          <w:sz w:val="24"/>
          <w:szCs w:val="24"/>
        </w:rPr>
        <w:t>Гольонко</w:t>
      </w:r>
      <w:proofErr w:type="spellEnd"/>
      <w:r w:rsidRPr="00B34EB8">
        <w:rPr>
          <w:color w:val="000000"/>
          <w:sz w:val="24"/>
          <w:szCs w:val="24"/>
        </w:rPr>
        <w:t xml:space="preserve"> Устина, Письменний Богдан, </w:t>
      </w:r>
      <w:proofErr w:type="spellStart"/>
      <w:r w:rsidRPr="00B34EB8">
        <w:rPr>
          <w:color w:val="000000"/>
          <w:sz w:val="24"/>
          <w:szCs w:val="24"/>
        </w:rPr>
        <w:t>Побочій</w:t>
      </w:r>
      <w:proofErr w:type="spellEnd"/>
      <w:r w:rsidRPr="00B34EB8">
        <w:rPr>
          <w:color w:val="000000"/>
          <w:sz w:val="24"/>
          <w:szCs w:val="24"/>
        </w:rPr>
        <w:t xml:space="preserve"> Євгеній, Босенко Олександр; 7 клас – </w:t>
      </w:r>
      <w:proofErr w:type="spellStart"/>
      <w:r w:rsidRPr="00B34EB8">
        <w:rPr>
          <w:color w:val="000000"/>
          <w:sz w:val="24"/>
          <w:szCs w:val="24"/>
        </w:rPr>
        <w:t>Лазарук</w:t>
      </w:r>
      <w:proofErr w:type="spellEnd"/>
      <w:r w:rsidRPr="00B34EB8">
        <w:rPr>
          <w:color w:val="000000"/>
          <w:sz w:val="24"/>
          <w:szCs w:val="24"/>
        </w:rPr>
        <w:t xml:space="preserve"> Олександр.</w:t>
      </w:r>
    </w:p>
    <w:p w:rsidR="00EF748C" w:rsidRPr="00B34EB8" w:rsidRDefault="00EF748C" w:rsidP="00EF748C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34EB8">
        <w:rPr>
          <w:color w:val="000000"/>
          <w:sz w:val="24"/>
          <w:szCs w:val="24"/>
        </w:rPr>
        <w:t xml:space="preserve">Всеукраїнська українознавча гра «Соняшник - 2018» переможцями стали: 1 клас - Пономаренко Поліна, </w:t>
      </w:r>
      <w:proofErr w:type="spellStart"/>
      <w:r w:rsidRPr="00B34EB8">
        <w:rPr>
          <w:color w:val="000000"/>
          <w:sz w:val="24"/>
          <w:szCs w:val="24"/>
        </w:rPr>
        <w:t>Дзененко</w:t>
      </w:r>
      <w:proofErr w:type="spellEnd"/>
      <w:r w:rsidRPr="00B34EB8">
        <w:rPr>
          <w:color w:val="000000"/>
          <w:sz w:val="24"/>
          <w:szCs w:val="24"/>
        </w:rPr>
        <w:t xml:space="preserve"> Маргарита, </w:t>
      </w:r>
      <w:proofErr w:type="spellStart"/>
      <w:r w:rsidRPr="00B34EB8">
        <w:rPr>
          <w:color w:val="000000"/>
          <w:sz w:val="24"/>
          <w:szCs w:val="24"/>
        </w:rPr>
        <w:t>Нестерук</w:t>
      </w:r>
      <w:proofErr w:type="spellEnd"/>
      <w:r w:rsidRPr="00B34EB8">
        <w:rPr>
          <w:color w:val="000000"/>
          <w:sz w:val="24"/>
          <w:szCs w:val="24"/>
        </w:rPr>
        <w:t xml:space="preserve"> Давид; 2 клас – Бутко </w:t>
      </w:r>
      <w:proofErr w:type="spellStart"/>
      <w:r w:rsidRPr="00B34EB8">
        <w:rPr>
          <w:color w:val="000000"/>
          <w:sz w:val="24"/>
          <w:szCs w:val="24"/>
        </w:rPr>
        <w:t>Єлізавєта</w:t>
      </w:r>
      <w:proofErr w:type="spellEnd"/>
      <w:r w:rsidRPr="00B34EB8">
        <w:rPr>
          <w:color w:val="000000"/>
          <w:sz w:val="24"/>
          <w:szCs w:val="24"/>
        </w:rPr>
        <w:t xml:space="preserve">; 4 клас – </w:t>
      </w:r>
      <w:proofErr w:type="spellStart"/>
      <w:r w:rsidRPr="00B34EB8">
        <w:rPr>
          <w:color w:val="000000"/>
          <w:sz w:val="24"/>
          <w:szCs w:val="24"/>
        </w:rPr>
        <w:t>Дзененко</w:t>
      </w:r>
      <w:proofErr w:type="spellEnd"/>
      <w:r w:rsidRPr="00B34EB8">
        <w:rPr>
          <w:color w:val="000000"/>
          <w:sz w:val="24"/>
          <w:szCs w:val="24"/>
        </w:rPr>
        <w:t xml:space="preserve"> Валерія, </w:t>
      </w:r>
      <w:proofErr w:type="spellStart"/>
      <w:r w:rsidRPr="00B34EB8">
        <w:rPr>
          <w:color w:val="000000"/>
          <w:sz w:val="24"/>
          <w:szCs w:val="24"/>
        </w:rPr>
        <w:t>Нестерук</w:t>
      </w:r>
      <w:proofErr w:type="spellEnd"/>
      <w:r w:rsidRPr="00B34EB8">
        <w:rPr>
          <w:color w:val="000000"/>
          <w:sz w:val="24"/>
          <w:szCs w:val="24"/>
        </w:rPr>
        <w:t xml:space="preserve"> Андрій; 5 клас – Павлик Олександра, </w:t>
      </w:r>
      <w:proofErr w:type="spellStart"/>
      <w:r w:rsidRPr="00B34EB8">
        <w:rPr>
          <w:color w:val="000000"/>
          <w:sz w:val="24"/>
          <w:szCs w:val="24"/>
        </w:rPr>
        <w:t>Мамиш</w:t>
      </w:r>
      <w:proofErr w:type="spellEnd"/>
      <w:r w:rsidRPr="00B34EB8">
        <w:rPr>
          <w:color w:val="000000"/>
          <w:sz w:val="24"/>
          <w:szCs w:val="24"/>
        </w:rPr>
        <w:t xml:space="preserve"> Ростислав, </w:t>
      </w:r>
      <w:proofErr w:type="spellStart"/>
      <w:r w:rsidRPr="00B34EB8">
        <w:rPr>
          <w:color w:val="000000"/>
          <w:sz w:val="24"/>
          <w:szCs w:val="24"/>
        </w:rPr>
        <w:t>Кагаловська</w:t>
      </w:r>
      <w:proofErr w:type="spellEnd"/>
      <w:r w:rsidRPr="00B34EB8">
        <w:rPr>
          <w:color w:val="000000"/>
          <w:sz w:val="24"/>
          <w:szCs w:val="24"/>
        </w:rPr>
        <w:t xml:space="preserve"> Світлана, </w:t>
      </w:r>
      <w:proofErr w:type="spellStart"/>
      <w:r w:rsidRPr="00B34EB8">
        <w:rPr>
          <w:color w:val="000000"/>
          <w:sz w:val="24"/>
          <w:szCs w:val="24"/>
        </w:rPr>
        <w:t>Коробенко</w:t>
      </w:r>
      <w:proofErr w:type="spellEnd"/>
      <w:r w:rsidRPr="00B34EB8">
        <w:rPr>
          <w:color w:val="000000"/>
          <w:sz w:val="24"/>
          <w:szCs w:val="24"/>
        </w:rPr>
        <w:t xml:space="preserve"> В’ячеслава; 6 клас – </w:t>
      </w:r>
      <w:proofErr w:type="spellStart"/>
      <w:r w:rsidRPr="00B34EB8">
        <w:rPr>
          <w:color w:val="000000"/>
          <w:sz w:val="24"/>
          <w:szCs w:val="24"/>
        </w:rPr>
        <w:t>Гольонко</w:t>
      </w:r>
      <w:proofErr w:type="spellEnd"/>
      <w:r w:rsidRPr="00B34EB8">
        <w:rPr>
          <w:color w:val="000000"/>
          <w:sz w:val="24"/>
          <w:szCs w:val="24"/>
        </w:rPr>
        <w:t xml:space="preserve"> </w:t>
      </w:r>
      <w:proofErr w:type="spellStart"/>
      <w:r w:rsidRPr="00B34EB8">
        <w:rPr>
          <w:color w:val="000000"/>
          <w:sz w:val="24"/>
          <w:szCs w:val="24"/>
        </w:rPr>
        <w:t>Даря</w:t>
      </w:r>
      <w:proofErr w:type="spellEnd"/>
      <w:r w:rsidRPr="00B34EB8">
        <w:rPr>
          <w:color w:val="000000"/>
          <w:sz w:val="24"/>
          <w:szCs w:val="24"/>
        </w:rPr>
        <w:t xml:space="preserve">, </w:t>
      </w:r>
      <w:proofErr w:type="spellStart"/>
      <w:r w:rsidRPr="00B34EB8">
        <w:rPr>
          <w:color w:val="000000"/>
          <w:sz w:val="24"/>
          <w:szCs w:val="24"/>
        </w:rPr>
        <w:t>Коробенко</w:t>
      </w:r>
      <w:proofErr w:type="spellEnd"/>
      <w:r w:rsidRPr="00B34EB8">
        <w:rPr>
          <w:color w:val="000000"/>
          <w:sz w:val="24"/>
          <w:szCs w:val="24"/>
        </w:rPr>
        <w:t xml:space="preserve"> Аліна, Письменний Богдан, </w:t>
      </w:r>
      <w:proofErr w:type="spellStart"/>
      <w:r w:rsidRPr="00B34EB8">
        <w:rPr>
          <w:color w:val="000000"/>
          <w:sz w:val="24"/>
          <w:szCs w:val="24"/>
        </w:rPr>
        <w:t>Первіцька</w:t>
      </w:r>
      <w:proofErr w:type="spellEnd"/>
      <w:r w:rsidRPr="00B34EB8">
        <w:rPr>
          <w:color w:val="000000"/>
          <w:sz w:val="24"/>
          <w:szCs w:val="24"/>
        </w:rPr>
        <w:t xml:space="preserve"> Таміла, </w:t>
      </w:r>
      <w:proofErr w:type="spellStart"/>
      <w:r w:rsidRPr="00B34EB8">
        <w:rPr>
          <w:color w:val="000000"/>
          <w:sz w:val="24"/>
          <w:szCs w:val="24"/>
        </w:rPr>
        <w:t>Побочій</w:t>
      </w:r>
      <w:proofErr w:type="spellEnd"/>
      <w:r w:rsidRPr="00B34EB8">
        <w:rPr>
          <w:color w:val="000000"/>
          <w:sz w:val="24"/>
          <w:szCs w:val="24"/>
        </w:rPr>
        <w:t xml:space="preserve"> Євгеній, Босенко Олександр; 8 клас - Кириченко Софія, Бурденюк Віктор; 10 клас – Копилець Мирослава, Пономаренко Валерія.</w:t>
      </w:r>
    </w:p>
    <w:p w:rsidR="00BB0C82" w:rsidRDefault="00BB0C82">
      <w:bookmarkStart w:id="0" w:name="_GoBack"/>
      <w:bookmarkEnd w:id="0"/>
    </w:p>
    <w:sectPr w:rsidR="00BB0C82" w:rsidSect="00EF74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1BC3"/>
    <w:multiLevelType w:val="hybridMultilevel"/>
    <w:tmpl w:val="32BE0ABC"/>
    <w:lvl w:ilvl="0" w:tplc="5D90E004">
      <w:start w:val="1"/>
      <w:numFmt w:val="bullet"/>
      <w:lvlText w:val=""/>
      <w:lvlJc w:val="center"/>
      <w:pPr>
        <w:ind w:left="1287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1"/>
    <w:rsid w:val="00BB0C82"/>
    <w:rsid w:val="00EF748C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0C2D-4FD9-4D29-BA64-2BD6553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2019-10-02T07:20:00Z</dcterms:created>
  <dcterms:modified xsi:type="dcterms:W3CDTF">2019-10-02T07:20:00Z</dcterms:modified>
</cp:coreProperties>
</file>