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BA" w:rsidRPr="000760BA" w:rsidRDefault="000760BA" w:rsidP="006D65A5">
      <w:pPr>
        <w:shd w:val="clear" w:color="auto" w:fill="FFFFFF"/>
        <w:spacing w:after="0" w:line="36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Схвалено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6D65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Затверджую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педагогічною радою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 xml:space="preserve">директор гімназії </w:t>
      </w:r>
      <w:r w:rsidR="006D65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Олійник О.М.</w:t>
      </w:r>
    </w:p>
    <w:p w:rsidR="000760BA" w:rsidRPr="000760BA" w:rsidRDefault="00BE0061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E0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№1 від 10.01.2018</w:t>
      </w:r>
      <w:r w:rsid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</w:r>
      <w:r w:rsid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наказ № _</w:t>
      </w:r>
      <w:r w:rsidRPr="00BE0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21</w:t>
      </w:r>
      <w:r w:rsid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_ від </w:t>
      </w:r>
      <w:r w:rsidRPr="00BE0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23.01.2018</w:t>
      </w:r>
      <w:r w:rsidR="000760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____</w:t>
      </w:r>
      <w:r w:rsidR="006D65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__</w:t>
      </w:r>
    </w:p>
    <w:p w:rsidR="006D65A5" w:rsidRDefault="006D65A5" w:rsidP="006D65A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0760BA" w:rsidRPr="006D65A5" w:rsidRDefault="000760BA" w:rsidP="006D65A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0760BA" w:rsidRPr="006D65A5" w:rsidRDefault="000760BA" w:rsidP="006D65A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академічну доброчесність учасників освітнього процесу</w:t>
      </w:r>
    </w:p>
    <w:p w:rsidR="006D65A5" w:rsidRPr="006D65A5" w:rsidRDefault="006D65A5" w:rsidP="006D65A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Бурштинської</w:t>
      </w:r>
      <w:proofErr w:type="spellEnd"/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гімназії </w:t>
      </w:r>
      <w:proofErr w:type="spellStart"/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Бурштинської</w:t>
      </w:r>
      <w:proofErr w:type="spellEnd"/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міської ради</w:t>
      </w:r>
    </w:p>
    <w:p w:rsidR="000760BA" w:rsidRPr="006D65A5" w:rsidRDefault="006D65A5" w:rsidP="006D65A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D6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Івано-Франківської області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Загальні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D65A5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Бурштинської</w:t>
      </w:r>
      <w:proofErr w:type="spellEnd"/>
      <w:r w:rsidR="006D65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гімназії </w:t>
      </w:r>
      <w:proofErr w:type="spellStart"/>
      <w:r w:rsidR="006D65A5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Бурштинської</w:t>
      </w:r>
      <w:proofErr w:type="spellEnd"/>
      <w:r w:rsidR="006D65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-Положення</w:t>
      </w:r>
      <w:proofErr w:type="spellEnd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підзаконним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актом,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додержання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моральних,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Конвенції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корупції»,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суміжні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статуту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нормативно-правових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ІІ.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Принципи,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норми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етики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сукупність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керуватися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(творчої)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ст.42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вважається: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Академічний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плагіат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(частково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(творчих)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особами,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(творчості)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та/або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відтворення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опублікованих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(оприлюднених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мистецтва)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авторства.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lastRenderedPageBreak/>
        <w:t>Самоплагіат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(частково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повністю)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опублікованих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нових.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Фабрикація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вигадування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дослідженнях.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Фальсифікація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модифікація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вже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Списування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(шпаргалки,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мікронавушники</w:t>
      </w:r>
      <w:proofErr w:type="spellEnd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телефони,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планшети,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раніше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(лабораторної,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тощо).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Обман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завідомо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неправдивої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(наукової,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обману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є,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плагіат,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самоплагіат</w:t>
      </w:r>
      <w:proofErr w:type="spellEnd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фабрикація,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фальсифікація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списування.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Хабарництво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(отримання)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(отримання)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майна,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пільг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благ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нематеріального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неправомірної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переваги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освітньому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Зловживання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впливом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обіцянка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неправомірної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обіцяє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(погоджується)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вплинути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особою,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уповноваженою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держави.</w:t>
      </w:r>
    </w:p>
    <w:p w:rsidR="000760BA" w:rsidRPr="000760BA" w:rsidRDefault="000760BA" w:rsidP="000760B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Необ’єктивне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завищення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заниження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забезпечуються: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2.3.1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учасниками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 w:rsidRPr="00076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: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Конвенції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дитини»,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Конституції,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іміджу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примноження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традицій;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спілкування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засадах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партнерства,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взаємоповаги,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толерантності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стосунків;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корупції,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хабарництву;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збереження,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навчально-матеріальної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бази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тверджень,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відомостей;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авторські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правдивої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(наукової,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творчої)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діяльності;</w:t>
      </w:r>
    </w:p>
    <w:p w:rsidR="000760BA" w:rsidRPr="000760BA" w:rsidRDefault="000760BA" w:rsidP="000760BA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невідворотності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законами.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2.3.2.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здобувачами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освіти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шляхом:</w:t>
      </w:r>
    </w:p>
    <w:p w:rsidR="000760BA" w:rsidRPr="000760BA" w:rsidRDefault="000760BA" w:rsidP="000760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дозволених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зокрема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(самостійні,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ДПА);</w:t>
      </w:r>
    </w:p>
    <w:p w:rsidR="000760BA" w:rsidRPr="000760BA" w:rsidRDefault="000760BA" w:rsidP="000760BA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заняттях,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окрім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випадків,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викликаних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поважними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причинами.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2.3.3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педагогічними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uk-UA"/>
        </w:rPr>
        <w:t>працівниками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шляхом: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здобутків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присутності,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колегіальної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управлінські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партій,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релігійних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саморозвитку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самовдосконалення,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вчасно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курсової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розпорядку,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дисципліни,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корпоративної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етики;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неупередженого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освіти;</w:t>
      </w:r>
    </w:p>
    <w:p w:rsidR="000760BA" w:rsidRPr="000760BA" w:rsidRDefault="000760BA" w:rsidP="000760BA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ІІІ.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Заходи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попередження,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виявлення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встановлення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фактів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порушення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етики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доброчесності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прийомі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знайомиться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розписку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розпорядку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оприлюднюється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3.3.Адміністрація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школи: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3.3.1.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практикумів,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ними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(робіт)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публікацій,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рівня;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3.3.2.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(рецензування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присвоєння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сервіси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безкоштовної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робіт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антиплагіат</w:t>
      </w:r>
      <w:proofErr w:type="spellEnd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дотримуються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роз’яснювальну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неприпустимості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(плагіат,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оформлення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цитування,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списування).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прийняття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попередження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здобувачами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вчителя-предметника</w:t>
      </w:r>
      <w:proofErr w:type="spellEnd"/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учнівського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класу.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списування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(повторне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компонента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здобувача.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IV.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Види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порушення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доброчесності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доброчинності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tbl>
      <w:tblPr>
        <w:tblW w:w="77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7"/>
        <w:gridCol w:w="1524"/>
        <w:gridCol w:w="1996"/>
        <w:gridCol w:w="2012"/>
        <w:gridCol w:w="2221"/>
      </w:tblGrid>
      <w:tr w:rsidR="000760BA" w:rsidRPr="000760BA" w:rsidTr="0088613E"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88613E" w:rsidRDefault="000760BA" w:rsidP="00C578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Порушення</w:t>
            </w:r>
          </w:p>
          <w:p w:rsidR="000760BA" w:rsidRPr="0088613E" w:rsidRDefault="000760BA" w:rsidP="00C578A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академічної </w:t>
            </w:r>
            <w:proofErr w:type="spellStart"/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доброчес</w:t>
            </w:r>
            <w:r w:rsid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ності</w:t>
            </w:r>
            <w:proofErr w:type="spellEnd"/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88613E" w:rsidRDefault="000760BA" w:rsidP="00C578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Суб’єкти</w:t>
            </w:r>
          </w:p>
          <w:p w:rsidR="000760BA" w:rsidRPr="0088613E" w:rsidRDefault="000760BA" w:rsidP="00C578A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порушення</w:t>
            </w: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88613E" w:rsidRDefault="000760BA" w:rsidP="00C578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Обставини та умови</w:t>
            </w:r>
            <w:r w:rsidR="0088613E"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порушення</w:t>
            </w:r>
          </w:p>
          <w:p w:rsidR="000760BA" w:rsidRPr="0088613E" w:rsidRDefault="000760BA" w:rsidP="00C578A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академічної доброчесності</w:t>
            </w: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88613E" w:rsidRDefault="000760BA" w:rsidP="00C578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 xml:space="preserve">Наслідки  і форма </w:t>
            </w:r>
            <w:proofErr w:type="spellStart"/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відпові</w:t>
            </w:r>
            <w:r w:rsid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дальності</w:t>
            </w:r>
            <w:proofErr w:type="spellEnd"/>
          </w:p>
        </w:tc>
        <w:tc>
          <w:tcPr>
            <w:tcW w:w="2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88613E" w:rsidRDefault="000760BA" w:rsidP="00C578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Орган / посадова особа, який приймає рішення про призначення</w:t>
            </w:r>
          </w:p>
          <w:p w:rsidR="000760BA" w:rsidRPr="0088613E" w:rsidRDefault="000760BA" w:rsidP="00C578A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861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uk-UA"/>
              </w:rPr>
              <w:t>виду відповідальності</w:t>
            </w:r>
          </w:p>
        </w:tc>
      </w:tr>
      <w:tr w:rsidR="000760BA" w:rsidRPr="000760BA" w:rsidTr="0088613E">
        <w:tc>
          <w:tcPr>
            <w:tcW w:w="184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Списування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Здобувачі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освіти</w:t>
            </w: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самостійні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роботи;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роботи;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зрізи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знань;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моніторинги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знань</w:t>
            </w: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тиждень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освітньої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</w:p>
        </w:tc>
        <w:tc>
          <w:tcPr>
            <w:tcW w:w="2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Учителі-предметники</w:t>
            </w:r>
            <w:proofErr w:type="spellEnd"/>
          </w:p>
        </w:tc>
      </w:tr>
      <w:tr w:rsidR="000760BA" w:rsidRPr="000760BA" w:rsidTr="0088613E"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-державна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атестація;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річне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</w:p>
          <w:p w:rsidR="000760BA" w:rsidRPr="000760BA" w:rsidRDefault="000760BA" w:rsidP="0088613E">
            <w:pPr>
              <w:spacing w:after="0" w:line="36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проходження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графіком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школі</w:t>
            </w:r>
          </w:p>
          <w:p w:rsidR="000760BA" w:rsidRPr="000760BA" w:rsidRDefault="000760BA" w:rsidP="0088613E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зарахування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результатів</w:t>
            </w:r>
          </w:p>
        </w:tc>
        <w:tc>
          <w:tcPr>
            <w:tcW w:w="2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8861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підсумкової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атестації</w:t>
            </w:r>
          </w:p>
        </w:tc>
      </w:tr>
      <w:tr w:rsidR="000760BA" w:rsidRPr="000760BA" w:rsidTr="0088613E"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етап</w:t>
            </w:r>
            <w:r w:rsidR="00F941C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(шкільний)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Всеукраїнських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учнівських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олімпіад,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конкурсів;</w:t>
            </w: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анулюється,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оцінюється.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повторних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випадків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списування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допускається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олімпіадах,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конкурсах</w:t>
            </w:r>
          </w:p>
        </w:tc>
        <w:tc>
          <w:tcPr>
            <w:tcW w:w="2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Оргкомітет,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журі</w:t>
            </w:r>
          </w:p>
        </w:tc>
      </w:tr>
      <w:tr w:rsidR="000760BA" w:rsidRPr="000760BA" w:rsidTr="0088613E"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Необ’єктивне</w:t>
            </w:r>
            <w:r w:rsidR="00F941C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здобувачів</w:t>
            </w:r>
          </w:p>
        </w:tc>
        <w:tc>
          <w:tcPr>
            <w:tcW w:w="156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Педагогічні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працівники</w:t>
            </w:r>
          </w:p>
        </w:tc>
        <w:tc>
          <w:tcPr>
            <w:tcW w:w="213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Свідоме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завищення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заниження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-усні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відповіді;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-домашні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роботи;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-контрольні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-лабораторні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-ДПА;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-тематичне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моніторинги;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-олімпіадні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</w:p>
        </w:tc>
        <w:tc>
          <w:tcPr>
            <w:tcW w:w="226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Педагогічному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рекомендується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опрацювати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критерії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систематичних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порушень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враховуються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категорії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присвоєнні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звань</w:t>
            </w:r>
          </w:p>
        </w:tc>
        <w:tc>
          <w:tcPr>
            <w:tcW w:w="2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Адміністрація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атестаційні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усіх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рівнів</w:t>
            </w:r>
          </w:p>
        </w:tc>
      </w:tr>
      <w:tr w:rsidR="000760BA" w:rsidRPr="000760BA" w:rsidTr="0088613E"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Обман: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Фальсифікація</w:t>
            </w:r>
          </w:p>
        </w:tc>
        <w:tc>
          <w:tcPr>
            <w:tcW w:w="156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Педагогічні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працівники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як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автори</w:t>
            </w:r>
          </w:p>
        </w:tc>
        <w:tc>
          <w:tcPr>
            <w:tcW w:w="213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Навчально-методичні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продукти,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створені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працівниками: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-методичні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рекомендації;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посібник;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-навчально-методичний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посібник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-наочний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посібник;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-практичний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посібник;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наочний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посібник;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-збірка</w:t>
            </w:r>
            <w:proofErr w:type="spellEnd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-методична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збірка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-методичний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вісник;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-стаття</w:t>
            </w:r>
            <w:proofErr w:type="spellEnd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-методична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</w:t>
            </w:r>
          </w:p>
        </w:tc>
        <w:tc>
          <w:tcPr>
            <w:tcW w:w="226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випадку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порушень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порядку: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спотворене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представлення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методичних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публікаціях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чужих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розробок,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синтезу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компіляції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чужих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джерел,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Інтернету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посилань,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фальсифікація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наукових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досліджень,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неправдива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діяльність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підставою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відмови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присвоєнні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позбавлені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раніше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присвоєного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категорії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разі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встановлення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період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фактів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списування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здобувачами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контрольних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зрізів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фальсифікації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педагогічної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</w:p>
          <w:p w:rsidR="000760BA" w:rsidRPr="000760BA" w:rsidRDefault="000760BA" w:rsidP="000A3F66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позбавлення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працівника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І,ІІ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кваліфікаційної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категорії</w:t>
            </w:r>
          </w:p>
        </w:tc>
        <w:tc>
          <w:tcPr>
            <w:tcW w:w="20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Педагогічна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ради</w:t>
            </w:r>
          </w:p>
          <w:p w:rsidR="000760BA" w:rsidRPr="000760BA" w:rsidRDefault="000760BA" w:rsidP="00F941C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атестаційні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комісії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школи</w:t>
            </w:r>
          </w:p>
        </w:tc>
      </w:tr>
      <w:tr w:rsidR="000760BA" w:rsidRPr="000760BA" w:rsidTr="0088613E"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Фабрикація</w:t>
            </w: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760BA" w:rsidRPr="000760BA" w:rsidTr="0088613E">
        <w:tc>
          <w:tcPr>
            <w:tcW w:w="184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760BA" w:rsidRPr="000760BA" w:rsidRDefault="000760BA" w:rsidP="00F941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60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Плагіат</w:t>
            </w: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Merge/>
            <w:hideMark/>
          </w:tcPr>
          <w:p w:rsidR="000760BA" w:rsidRPr="000760BA" w:rsidRDefault="000760BA" w:rsidP="0088613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>V.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Комісія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питань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та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етики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педагогічних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працівників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працівників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незалежний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учасниками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морально-етичних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колективу,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(за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згодою).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Персональний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затверджується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обираються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неї.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його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обов’язки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5.2.6.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морально-етичних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повноваження: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Виявляти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встановлювати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Проводити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популяризації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процесу.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ефективності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носять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анонімний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характер,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своєї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експертів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галузей,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заявою.</w:t>
      </w:r>
    </w:p>
    <w:p w:rsidR="000760BA" w:rsidRPr="000760BA" w:rsidRDefault="000760BA" w:rsidP="000760BA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Доводити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відома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реагування.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повноваження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членів,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присутніх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засіданні,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складатиме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менше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ніж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третини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складу.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5.6.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звітує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двічі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VI.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Прикінцеві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положення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ухвалюється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голосів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набирає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моменту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схвалення.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доброчесність.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Незнання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нерозуміння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цього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виправданням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неетичної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поведінки.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публічний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доступ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офіційний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сайт.</w:t>
      </w:r>
    </w:p>
    <w:p w:rsidR="000760BA" w:rsidRPr="000760BA" w:rsidRDefault="000760BA" w:rsidP="000760B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будь-яким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вводяться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дію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60BA">
        <w:rPr>
          <w:rFonts w:ascii="Times New Roman" w:eastAsia="Times New Roman" w:hAnsi="Times New Roman" w:cs="Times New Roman"/>
          <w:sz w:val="28"/>
          <w:szCs w:val="28"/>
          <w:lang w:eastAsia="uk-UA"/>
        </w:rPr>
        <w:t>школи.</w:t>
      </w:r>
    </w:p>
    <w:p w:rsidR="005C1004" w:rsidRPr="000760BA" w:rsidRDefault="005C1004" w:rsidP="00076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BA" w:rsidRPr="000760BA" w:rsidRDefault="000760BA" w:rsidP="00076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60BA" w:rsidRPr="000760BA" w:rsidSect="005C1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21C"/>
    <w:multiLevelType w:val="multilevel"/>
    <w:tmpl w:val="41B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A30FF"/>
    <w:multiLevelType w:val="multilevel"/>
    <w:tmpl w:val="E35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AF567B"/>
    <w:multiLevelType w:val="multilevel"/>
    <w:tmpl w:val="824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A1C0D"/>
    <w:multiLevelType w:val="multilevel"/>
    <w:tmpl w:val="A926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9B6F04"/>
    <w:multiLevelType w:val="multilevel"/>
    <w:tmpl w:val="9704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0760BA"/>
    <w:rsid w:val="000760BA"/>
    <w:rsid w:val="000A3F66"/>
    <w:rsid w:val="005C1004"/>
    <w:rsid w:val="006909AE"/>
    <w:rsid w:val="006D65A5"/>
    <w:rsid w:val="0088613E"/>
    <w:rsid w:val="00A115BA"/>
    <w:rsid w:val="00B256EE"/>
    <w:rsid w:val="00BE0061"/>
    <w:rsid w:val="00C578A8"/>
    <w:rsid w:val="00DD2CCF"/>
    <w:rsid w:val="00F941CB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04"/>
  </w:style>
  <w:style w:type="paragraph" w:styleId="2">
    <w:name w:val="heading 2"/>
    <w:basedOn w:val="a"/>
    <w:link w:val="20"/>
    <w:uiPriority w:val="9"/>
    <w:qFormat/>
    <w:rsid w:val="00076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0B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0760BA"/>
    <w:rPr>
      <w:b/>
      <w:bCs/>
    </w:rPr>
  </w:style>
  <w:style w:type="paragraph" w:styleId="a4">
    <w:name w:val="Normal (Web)"/>
    <w:basedOn w:val="a"/>
    <w:uiPriority w:val="99"/>
    <w:unhideWhenUsed/>
    <w:rsid w:val="0007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8184</Words>
  <Characters>4665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2021-01-15T11:57:00Z</dcterms:created>
  <dcterms:modified xsi:type="dcterms:W3CDTF">2021-02-02T07:05:00Z</dcterms:modified>
</cp:coreProperties>
</file>