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C8" w:rsidRDefault="00970266">
      <w:pPr>
        <w:pStyle w:val="30"/>
        <w:shd w:val="clear" w:color="auto" w:fill="auto"/>
        <w:ind w:left="200"/>
      </w:pPr>
      <w:r>
        <w:t>Погоджено</w:t>
      </w:r>
    </w:p>
    <w:p w:rsidR="003301C8" w:rsidRDefault="00970266">
      <w:pPr>
        <w:pStyle w:val="20"/>
        <w:shd w:val="clear" w:color="auto" w:fill="auto"/>
        <w:ind w:firstLine="0"/>
      </w:pPr>
      <w:r>
        <w:t>на засіданні</w:t>
      </w:r>
    </w:p>
    <w:p w:rsidR="003301C8" w:rsidRDefault="00A276F2">
      <w:pPr>
        <w:pStyle w:val="20"/>
        <w:shd w:val="clear" w:color="auto" w:fill="auto"/>
        <w:ind w:firstLine="0"/>
        <w:sectPr w:rsidR="003301C8">
          <w:pgSz w:w="11900" w:h="16840"/>
          <w:pgMar w:top="483" w:right="7630" w:bottom="325" w:left="1245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819910" distR="63500" simplePos="0" relativeHeight="251657728" behindDoc="1" locked="0" layoutInCell="1" allowOverlap="1">
                <wp:simplePos x="0" y="0"/>
                <wp:positionH relativeFrom="margin">
                  <wp:posOffset>3740150</wp:posOffset>
                </wp:positionH>
                <wp:positionV relativeFrom="margin">
                  <wp:posOffset>6350</wp:posOffset>
                </wp:positionV>
                <wp:extent cx="2770505" cy="1397000"/>
                <wp:effectExtent l="0" t="0" r="4445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C8" w:rsidRDefault="00970266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Затверджую</w:t>
                            </w:r>
                          </w:p>
                          <w:p w:rsidR="003301C8" w:rsidRDefault="00A276F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>
                                  <wp:extent cx="2770505" cy="1219200"/>
                                  <wp:effectExtent l="0" t="0" r="0" b="0"/>
                                  <wp:docPr id="2" name="Рисунок 2" descr="C:\Users\USER_4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_4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050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.5pt;width:218.15pt;height:110pt;z-index:-251658752;visibility:visible;mso-wrap-style:square;mso-width-percent:0;mso-height-percent:0;mso-wrap-distance-left:143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gWrgIAAKo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" filled="f" stroked="f">
                <v:textbox style="mso-fit-shape-to-text:t" inset="0,0,0,0">
                  <w:txbxContent>
                    <w:p w:rsidR="003301C8" w:rsidRDefault="00970266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Затверджую</w:t>
                      </w:r>
                    </w:p>
                    <w:p w:rsidR="003301C8" w:rsidRDefault="00A276F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>
                            <wp:extent cx="2770505" cy="1219200"/>
                            <wp:effectExtent l="0" t="0" r="0" b="0"/>
                            <wp:docPr id="2" name="Рисунок 2" descr="C:\Users\USER_4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_4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050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67688A">
        <w:t xml:space="preserve">педагогічної ради </w:t>
      </w:r>
      <w:r w:rsidR="00150CD3">
        <w:t>гімназії</w:t>
      </w:r>
      <w:r w:rsidR="00970266">
        <w:t xml:space="preserve"> від 30.08.2023 протокол № 1</w:t>
      </w:r>
    </w:p>
    <w:p w:rsidR="003301C8" w:rsidRDefault="003301C8">
      <w:pPr>
        <w:spacing w:before="40" w:after="40" w:line="240" w:lineRule="exact"/>
        <w:rPr>
          <w:sz w:val="19"/>
          <w:szCs w:val="19"/>
        </w:rPr>
      </w:pPr>
    </w:p>
    <w:p w:rsidR="003301C8" w:rsidRDefault="003301C8">
      <w:pPr>
        <w:rPr>
          <w:sz w:val="2"/>
          <w:szCs w:val="2"/>
        </w:rPr>
        <w:sectPr w:rsidR="003301C8">
          <w:type w:val="continuous"/>
          <w:pgSz w:w="11900" w:h="16840"/>
          <w:pgMar w:top="456" w:right="0" w:bottom="291" w:left="0" w:header="0" w:footer="3" w:gutter="0"/>
          <w:cols w:space="720"/>
          <w:noEndnote/>
          <w:docGrid w:linePitch="360"/>
        </w:sectPr>
      </w:pPr>
    </w:p>
    <w:p w:rsidR="003301C8" w:rsidRDefault="002169E0" w:rsidP="002169E0">
      <w:pPr>
        <w:pStyle w:val="10"/>
        <w:keepNext/>
        <w:keepLines/>
        <w:shd w:val="clear" w:color="auto" w:fill="auto"/>
        <w:spacing w:after="282"/>
        <w:ind w:left="60"/>
      </w:pPr>
      <w:bookmarkStart w:id="0" w:name="bookmark0"/>
      <w:r>
        <w:t xml:space="preserve">                                        </w:t>
      </w:r>
      <w:bookmarkStart w:id="1" w:name="_GoBack"/>
      <w:bookmarkEnd w:id="1"/>
      <w:r w:rsidR="00970266">
        <w:t>ОСВІТНЯ ПРОГРАМА</w:t>
      </w:r>
      <w:r w:rsidR="00970266">
        <w:br/>
        <w:t>Бугаківської гімназії</w:t>
      </w:r>
      <w:r w:rsidR="00970266">
        <w:br/>
        <w:t>1-4 класи</w:t>
      </w:r>
      <w:bookmarkEnd w:id="0"/>
    </w:p>
    <w:p w:rsidR="003301C8" w:rsidRDefault="00970266">
      <w:pPr>
        <w:pStyle w:val="40"/>
        <w:shd w:val="clear" w:color="auto" w:fill="auto"/>
        <w:spacing w:before="0"/>
        <w:ind w:firstLine="760"/>
      </w:pPr>
      <w:r>
        <w:t>І.Загальні положення.</w:t>
      </w:r>
    </w:p>
    <w:p w:rsidR="003301C8" w:rsidRDefault="00970266">
      <w:pPr>
        <w:pStyle w:val="20"/>
        <w:shd w:val="clear" w:color="auto" w:fill="auto"/>
        <w:ind w:firstLine="760"/>
      </w:pPr>
      <w:r>
        <w:t>Освітня програма початкової освіти</w:t>
      </w:r>
      <w:r w:rsidR="0067688A">
        <w:t xml:space="preserve"> </w:t>
      </w:r>
      <w:r>
        <w:t>Бугаківської</w:t>
      </w:r>
      <w:r w:rsidR="0067688A">
        <w:t xml:space="preserve"> </w:t>
      </w:r>
      <w:r>
        <w:t>гімназії</w:t>
      </w:r>
      <w:r w:rsidR="0067688A">
        <w:t xml:space="preserve"> </w:t>
      </w:r>
      <w:r>
        <w:t>розроблена на виконання законів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року, Державного стандарту початкової освіти.</w:t>
      </w:r>
    </w:p>
    <w:p w:rsidR="003301C8" w:rsidRDefault="00970266">
      <w:pPr>
        <w:pStyle w:val="20"/>
        <w:shd w:val="clear" w:color="auto" w:fill="auto"/>
        <w:ind w:firstLine="760"/>
        <w:jc w:val="both"/>
      </w:pPr>
      <w:r>
        <w:t>Освітня програма розроблена на основі Державного стандарту початкової освіти, затвердженої постановою КМУ від 21.02.2018 №87, Типових освітніх програм (наказ</w:t>
      </w:r>
      <w:r w:rsidR="0067688A">
        <w:t xml:space="preserve"> </w:t>
      </w:r>
      <w:r>
        <w:t>МОН від 12.08.2022 №743)</w:t>
      </w:r>
    </w:p>
    <w:p w:rsidR="003301C8" w:rsidRDefault="00970266">
      <w:pPr>
        <w:pStyle w:val="20"/>
        <w:shd w:val="clear" w:color="auto" w:fill="auto"/>
        <w:ind w:firstLine="760"/>
      </w:pPr>
      <w:r>
        <w:t>Освітня програма початкової освіти</w:t>
      </w:r>
      <w:r w:rsidR="0067688A">
        <w:t xml:space="preserve"> </w:t>
      </w:r>
      <w:r>
        <w:t>визначає: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>вимоги до осіб, які можуть розпочати навчання за цією освітньою програмою;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 xml:space="preserve">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 xml:space="preserve"> навчальні плани;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280" w:lineRule="exact"/>
        <w:jc w:val="both"/>
      </w:pPr>
      <w:r>
        <w:t xml:space="preserve"> очікувані результати навчання учнів;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2" w:lineRule="exact"/>
        <w:jc w:val="both"/>
      </w:pPr>
      <w:r>
        <w:t xml:space="preserve"> </w:t>
      </w:r>
      <w:r w:rsidR="0067688A">
        <w:t>П</w:t>
      </w:r>
      <w:r>
        <w:t>ерелік</w:t>
      </w:r>
      <w:r w:rsidR="0067688A">
        <w:t xml:space="preserve"> </w:t>
      </w:r>
      <w:r>
        <w:t>навчальних</w:t>
      </w:r>
      <w:r w:rsidR="0067688A">
        <w:t xml:space="preserve"> </w:t>
      </w:r>
      <w:r>
        <w:t>програм</w:t>
      </w:r>
      <w:r w:rsidR="0067688A">
        <w:t xml:space="preserve"> </w:t>
      </w:r>
      <w:r>
        <w:t>із</w:t>
      </w:r>
      <w:r w:rsidR="0067688A">
        <w:t xml:space="preserve"> </w:t>
      </w:r>
      <w:r>
        <w:t>предметів, що</w:t>
      </w:r>
      <w:r w:rsidR="0067688A">
        <w:t xml:space="preserve"> </w:t>
      </w:r>
      <w:r>
        <w:t>вивчаються за інваріантним і варіативним</w:t>
      </w:r>
      <w:r w:rsidR="0067688A">
        <w:t xml:space="preserve"> </w:t>
      </w:r>
      <w:r>
        <w:t>складниками.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280" w:lineRule="exact"/>
        <w:jc w:val="both"/>
      </w:pPr>
      <w:r>
        <w:t xml:space="preserve"> рекомендовані форми організації освітнього процесу;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after="342" w:line="280" w:lineRule="exact"/>
        <w:jc w:val="both"/>
      </w:pPr>
      <w:r>
        <w:t xml:space="preserve"> інструментарій оцінювання;</w:t>
      </w:r>
    </w:p>
    <w:p w:rsidR="003301C8" w:rsidRDefault="00970266">
      <w:pPr>
        <w:pStyle w:val="40"/>
        <w:shd w:val="clear" w:color="auto" w:fill="auto"/>
        <w:spacing w:before="0" w:line="280" w:lineRule="exact"/>
        <w:ind w:firstLine="760"/>
      </w:pPr>
      <w:r>
        <w:t>2. Вимоги до осіб, які можуть розпочинати здобуття початкової освіти.</w:t>
      </w:r>
    </w:p>
    <w:p w:rsidR="003301C8" w:rsidRDefault="00970266">
      <w:pPr>
        <w:pStyle w:val="20"/>
        <w:shd w:val="clear" w:color="auto" w:fill="auto"/>
        <w:spacing w:after="248" w:line="322" w:lineRule="exact"/>
        <w:ind w:firstLine="760"/>
        <w:jc w:val="both"/>
      </w:pPr>
      <w: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3301C8" w:rsidRDefault="00970266">
      <w:pPr>
        <w:pStyle w:val="40"/>
        <w:shd w:val="clear" w:color="auto" w:fill="auto"/>
        <w:spacing w:before="0" w:line="312" w:lineRule="exact"/>
        <w:ind w:firstLine="760"/>
      </w:pPr>
      <w:r>
        <w:t>З . Загальний обсяг навчального навантаження та орієнтовна тривалість і можливі взаємозв’язки освітніх галузей, предметів, дисциплін.</w:t>
      </w:r>
    </w:p>
    <w:p w:rsidR="003301C8" w:rsidRDefault="00970266">
      <w:pPr>
        <w:pStyle w:val="20"/>
        <w:shd w:val="clear" w:color="auto" w:fill="auto"/>
        <w:ind w:firstLine="0"/>
      </w:pPr>
      <w:r>
        <w:t>Освітню програму укладено за такими освітніми галузями:</w:t>
      </w:r>
    </w:p>
    <w:p w:rsidR="003301C8" w:rsidRDefault="00970266">
      <w:pPr>
        <w:pStyle w:val="50"/>
        <w:shd w:val="clear" w:color="auto" w:fill="auto"/>
        <w:ind w:left="320"/>
      </w:pPr>
      <w:r>
        <w:t>Мовно-літературна (МОВ),</w:t>
      </w:r>
      <w:r>
        <w:rPr>
          <w:rStyle w:val="51"/>
        </w:rPr>
        <w:t xml:space="preserve"> у тому числі</w:t>
      </w:r>
    </w:p>
    <w:p w:rsidR="003301C8" w:rsidRDefault="00970266">
      <w:pPr>
        <w:pStyle w:val="50"/>
        <w:shd w:val="clear" w:color="auto" w:fill="auto"/>
        <w:ind w:left="3460"/>
      </w:pPr>
      <w:r>
        <w:t>Іншомовна освіта (ІНО)</w:t>
      </w:r>
    </w:p>
    <w:p w:rsidR="003301C8" w:rsidRDefault="00970266">
      <w:pPr>
        <w:pStyle w:val="50"/>
        <w:shd w:val="clear" w:color="auto" w:fill="auto"/>
        <w:ind w:left="320"/>
      </w:pPr>
      <w:r>
        <w:t>Математична (М40)</w:t>
      </w:r>
    </w:p>
    <w:p w:rsidR="003301C8" w:rsidRDefault="00970266">
      <w:pPr>
        <w:pStyle w:val="50"/>
        <w:shd w:val="clear" w:color="auto" w:fill="auto"/>
        <w:ind w:left="320"/>
      </w:pPr>
      <w:r>
        <w:t>Природнича (ПРО)</w:t>
      </w:r>
      <w:r>
        <w:br w:type="page"/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lastRenderedPageBreak/>
        <w:t>Технологічна (ТЕО)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Інформатична (ІФО)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Соціальна і здоров ’язбережувальна (СЗО)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Громадянська та історична (ГІО)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Мистецька (МИО)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Фізкультурна (ФІО)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"Мови і літератури" з урахуванням вікових особливостей учнів у навчальних планах реалізується через окремі предмети "Українська мова (мова і читання)", "Іноземна мова", а також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"Математика" реалізується через однойменний окремий предмет, "Математика", а також інтегрований курс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"Здоров'я і фізична культура" реалізується окремим предметом "Фізична культура", а також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"Технології" реалізується через інтегрований курс «Я досліджую світ», а також окремий предмет "Інформатика" у 3-4 класах,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Освітні галузі "Суспільствознавство" та «Природознавство» реалізується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after="304" w:line="322" w:lineRule="exact"/>
        <w:ind w:firstLine="740"/>
        <w:jc w:val="both"/>
      </w:pPr>
      <w:r>
        <w:t>Освітня галузь "Мистецтво" реалізується окремими предметами "Образотворче мистецтво" і "Музичне мистецтво".</w:t>
      </w:r>
    </w:p>
    <w:p w:rsidR="003301C8" w:rsidRDefault="00970266">
      <w:pPr>
        <w:pStyle w:val="22"/>
        <w:keepNext/>
        <w:keepLines/>
        <w:shd w:val="clear" w:color="auto" w:fill="auto"/>
        <w:spacing w:before="0"/>
      </w:pPr>
      <w:bookmarkStart w:id="2" w:name="bookmark1"/>
      <w:r>
        <w:t>4.Навчальні плани</w:t>
      </w:r>
      <w:bookmarkEnd w:id="2"/>
    </w:p>
    <w:p w:rsidR="003301C8" w:rsidRDefault="00970266">
      <w:pPr>
        <w:pStyle w:val="20"/>
        <w:shd w:val="clear" w:color="auto" w:fill="auto"/>
        <w:ind w:firstLine="740"/>
        <w:jc w:val="both"/>
      </w:pPr>
      <w:r>
        <w:t>На основі Типових</w:t>
      </w:r>
      <w:r w:rsidR="0067688A">
        <w:t xml:space="preserve"> </w:t>
      </w:r>
      <w:r>
        <w:t>навчальних планів</w:t>
      </w:r>
      <w:r w:rsidR="0067688A">
        <w:t xml:space="preserve"> </w:t>
      </w:r>
      <w:r>
        <w:t>у закладі</w:t>
      </w:r>
      <w:r w:rsidR="0067688A">
        <w:t xml:space="preserve"> </w:t>
      </w:r>
      <w:r>
        <w:t>розроблено навчальний план</w:t>
      </w:r>
      <w:r w:rsidR="0067688A">
        <w:t xml:space="preserve"> </w:t>
      </w:r>
      <w:r>
        <w:t>початкової</w:t>
      </w:r>
      <w:r w:rsidR="0067688A">
        <w:t xml:space="preserve"> </w:t>
      </w:r>
      <w:r>
        <w:t>школи: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1574"/>
        <w:gridCol w:w="1421"/>
        <w:gridCol w:w="1416"/>
        <w:gridCol w:w="1430"/>
      </w:tblGrid>
      <w:tr w:rsidR="003301C8">
        <w:trPr>
          <w:trHeight w:hRule="exact" w:val="1315"/>
          <w:jc w:val="center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Предмети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Інваріантний складник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Українська мова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5+1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</w:tr>
      <w:tr w:rsidR="003301C8">
        <w:trPr>
          <w:trHeight w:hRule="exact" w:val="3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Іноземна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мова (англійська)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Я досліджую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світ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Інформатика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Мистецтво: образотворче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мистецтво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Мистецтво: музичне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мистецтво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Фізична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культура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301C8">
        <w:trPr>
          <w:trHeight w:hRule="exact" w:val="3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4"/>
              </w:rPr>
              <w:t>Усього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20+3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21+3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22+3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22+3</w:t>
            </w:r>
          </w:p>
        </w:tc>
      </w:tr>
      <w:tr w:rsidR="003301C8">
        <w:trPr>
          <w:trHeight w:hRule="exact" w:val="437"/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Варіативний складник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9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Додаткові</w:t>
            </w:r>
            <w:r w:rsidR="0067688A">
              <w:rPr>
                <w:rStyle w:val="25"/>
              </w:rPr>
              <w:t xml:space="preserve"> </w:t>
            </w:r>
            <w:r>
              <w:rPr>
                <w:rStyle w:val="25"/>
              </w:rPr>
              <w:t>години на проведення</w:t>
            </w:r>
            <w:r w:rsidR="0067688A">
              <w:rPr>
                <w:rStyle w:val="25"/>
              </w:rPr>
              <w:t xml:space="preserve"> </w:t>
            </w:r>
            <w:r>
              <w:rPr>
                <w:rStyle w:val="25"/>
              </w:rPr>
              <w:t>індивідуальних</w:t>
            </w:r>
            <w:r w:rsidR="0067688A">
              <w:rPr>
                <w:rStyle w:val="25"/>
              </w:rPr>
              <w:t xml:space="preserve"> консульта</w:t>
            </w:r>
            <w:r>
              <w:rPr>
                <w:rStyle w:val="25"/>
              </w:rPr>
              <w:t>цій та групових занять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9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67688A" w:rsidP="0067688A">
            <w:pPr>
              <w:pStyle w:val="20"/>
              <w:framePr w:w="10762" w:wrap="notBeside" w:vAnchor="text" w:hAnchor="text" w:xAlign="center" w:y="1"/>
              <w:shd w:val="clear" w:color="auto" w:fill="auto"/>
              <w:spacing w:after="120" w:line="280" w:lineRule="exact"/>
              <w:ind w:firstLine="0"/>
            </w:pPr>
            <w:r>
              <w:rPr>
                <w:rStyle w:val="23"/>
              </w:rPr>
              <w:t>Г</w:t>
            </w:r>
            <w:r w:rsidR="00970266">
              <w:rPr>
                <w:rStyle w:val="23"/>
              </w:rPr>
              <w:t>ранично</w:t>
            </w:r>
            <w:r>
              <w:t xml:space="preserve"> </w:t>
            </w:r>
            <w:r>
              <w:rPr>
                <w:rStyle w:val="23"/>
              </w:rPr>
              <w:t>д</w:t>
            </w:r>
            <w:r w:rsidR="00970266">
              <w:rPr>
                <w:rStyle w:val="23"/>
              </w:rPr>
              <w:t>опустиме</w:t>
            </w:r>
            <w:r>
              <w:rPr>
                <w:rStyle w:val="23"/>
              </w:rPr>
              <w:t xml:space="preserve"> </w:t>
            </w:r>
            <w:r w:rsidR="00970266">
              <w:rPr>
                <w:rStyle w:val="23"/>
              </w:rPr>
              <w:t>тижневе</w:t>
            </w:r>
            <w:r>
              <w:rPr>
                <w:rStyle w:val="23"/>
              </w:rPr>
              <w:t xml:space="preserve"> </w:t>
            </w:r>
            <w:r w:rsidR="00970266">
              <w:rPr>
                <w:rStyle w:val="23"/>
              </w:rPr>
              <w:t>навчальне</w:t>
            </w:r>
            <w:r>
              <w:rPr>
                <w:rStyle w:val="23"/>
              </w:rPr>
              <w:t xml:space="preserve"> навантаж</w:t>
            </w:r>
            <w:r w:rsidR="00970266">
              <w:rPr>
                <w:rStyle w:val="23"/>
              </w:rPr>
              <w:t>ення на учня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20/700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3"/>
              </w:rPr>
              <w:t>22/770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3"/>
              </w:rPr>
              <w:t>22/770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3"/>
              </w:rPr>
              <w:t>22/770</w:t>
            </w:r>
          </w:p>
        </w:tc>
      </w:tr>
      <w:tr w:rsidR="003301C8">
        <w:trPr>
          <w:trHeight w:hRule="exact" w:val="35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Всього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23/805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4"/>
              </w:rPr>
              <w:t>24/840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25/875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25/875</w:t>
            </w:r>
          </w:p>
        </w:tc>
      </w:tr>
    </w:tbl>
    <w:p w:rsidR="003301C8" w:rsidRDefault="003301C8">
      <w:pPr>
        <w:framePr w:w="10762" w:wrap="notBeside" w:vAnchor="text" w:hAnchor="text" w:xAlign="center" w:y="1"/>
        <w:rPr>
          <w:sz w:val="2"/>
          <w:szCs w:val="2"/>
        </w:rPr>
      </w:pPr>
    </w:p>
    <w:p w:rsidR="003301C8" w:rsidRDefault="003301C8">
      <w:pPr>
        <w:rPr>
          <w:sz w:val="2"/>
          <w:szCs w:val="2"/>
        </w:rPr>
      </w:pP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При визначенні гранично допустимого навантаження учнів ураховані санітарно- гігієнічні норми та нормативну тривалість уроків у 2-4 класах - 40 хвилин, у 1 класі - 35 хв.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lastRenderedPageBreak/>
        <w:t>Відповідно до постанови Кабінету Міністрів України від 20 квітня 2011 року № 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Гранична наповнюваність класів встановлюється відповідно до Закону України "Про загальну середню освіту".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Навчальні плани зорієнтовані на роботу початкової школи за 5-денним навчальними тижнем.</w:t>
      </w:r>
    </w:p>
    <w:p w:rsidR="003301C8" w:rsidRDefault="00970266">
      <w:pPr>
        <w:pStyle w:val="20"/>
        <w:shd w:val="clear" w:color="auto" w:fill="auto"/>
        <w:spacing w:after="364" w:line="322" w:lineRule="exact"/>
        <w:ind w:firstLine="760"/>
        <w:jc w:val="both"/>
      </w:pPr>
      <w:r>
        <w:t xml:space="preserve">На виконання рекомендацій медичних закладів та ресурсно-інклюзивного центру, в 2022-2023 навчальному році організовано 2 інклюзивних класи, в яких навчаються двоє дітей з </w:t>
      </w:r>
      <w:r>
        <w:rPr>
          <w:lang w:val="ru-RU" w:eastAsia="ru-RU" w:bidi="ru-RU"/>
        </w:rPr>
        <w:t xml:space="preserve">ООП </w:t>
      </w:r>
      <w:r>
        <w:t>(3 і 4 класи).</w:t>
      </w:r>
    </w:p>
    <w:p w:rsidR="003301C8" w:rsidRDefault="00970266">
      <w:pPr>
        <w:pStyle w:val="40"/>
        <w:shd w:val="clear" w:color="auto" w:fill="auto"/>
        <w:spacing w:before="0"/>
        <w:jc w:val="both"/>
      </w:pPr>
      <w:r>
        <w:rPr>
          <w:rStyle w:val="41"/>
        </w:rPr>
        <w:t xml:space="preserve">5. </w:t>
      </w:r>
      <w:r>
        <w:t>Очікувані результати навчання здобувачів освіти.</w:t>
      </w:r>
    </w:p>
    <w:p w:rsidR="003301C8" w:rsidRDefault="00970266">
      <w:pPr>
        <w:pStyle w:val="20"/>
        <w:shd w:val="clear" w:color="auto" w:fill="auto"/>
        <w:ind w:left="620" w:firstLine="0"/>
      </w:pPr>
      <w:r>
        <w:t>Освітня</w:t>
      </w:r>
      <w:r w:rsidR="0067688A">
        <w:t xml:space="preserve"> </w:t>
      </w:r>
      <w:r>
        <w:t>програма</w:t>
      </w:r>
    </w:p>
    <w:p w:rsidR="003301C8" w:rsidRDefault="0067688A">
      <w:pPr>
        <w:pStyle w:val="20"/>
        <w:shd w:val="clear" w:color="auto" w:fill="auto"/>
        <w:spacing w:after="297"/>
        <w:ind w:firstLine="0"/>
        <w:jc w:val="both"/>
      </w:pPr>
      <w:r>
        <w:t>З</w:t>
      </w:r>
      <w:r w:rsidR="00970266">
        <w:t>акладу</w:t>
      </w:r>
      <w:r>
        <w:t xml:space="preserve"> </w:t>
      </w:r>
      <w:r w:rsidR="00970266">
        <w:t>передбачає</w:t>
      </w:r>
      <w:r>
        <w:t xml:space="preserve"> </w:t>
      </w:r>
      <w:r w:rsidR="00970266">
        <w:t>досягнення</w:t>
      </w:r>
      <w:r>
        <w:t xml:space="preserve"> </w:t>
      </w:r>
      <w:r w:rsidR="00970266">
        <w:t>здобувачами</w:t>
      </w:r>
      <w:r>
        <w:t xml:space="preserve"> </w:t>
      </w:r>
      <w:r w:rsidR="00970266">
        <w:t>освіти</w:t>
      </w:r>
      <w:r>
        <w:t xml:space="preserve"> </w:t>
      </w:r>
      <w:r w:rsidR="00970266">
        <w:t>результатів</w:t>
      </w:r>
      <w:r>
        <w:t xml:space="preserve"> </w:t>
      </w:r>
      <w:r w:rsidR="00970266">
        <w:t xml:space="preserve">навчання </w:t>
      </w:r>
      <w:r w:rsidR="00970266">
        <w:rPr>
          <w:lang w:val="ru-RU" w:eastAsia="ru-RU" w:bidi="ru-RU"/>
        </w:rPr>
        <w:t xml:space="preserve">(компетентностей), </w:t>
      </w:r>
      <w:r w:rsidR="00970266">
        <w:t>визначених</w:t>
      </w:r>
      <w:r>
        <w:t xml:space="preserve"> </w:t>
      </w:r>
      <w:r w:rsidR="00970266">
        <w:t>Державним стандартом початкової</w:t>
      </w:r>
      <w:r>
        <w:t xml:space="preserve"> </w:t>
      </w:r>
      <w:r w:rsidR="00970266">
        <w:t>освіти. Очікувані результати навчання здобувачів освіти подано за змістовими лініями і співвіднесено за допомогою індексів з обов’язковими результатами навчання першого та другого циклів, визначеними Державним стандартом початкової освіти.</w:t>
      </w:r>
      <w:r>
        <w:t xml:space="preserve"> </w:t>
      </w:r>
      <w:r w:rsidR="00970266">
        <w:t>Змістові лінії кожної освітньої галузі</w:t>
      </w:r>
      <w:r>
        <w:t xml:space="preserve"> </w:t>
      </w:r>
      <w:r w:rsidR="00970266">
        <w:t>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</w:t>
      </w:r>
    </w:p>
    <w:p w:rsidR="003301C8" w:rsidRDefault="0067688A">
      <w:pPr>
        <w:pStyle w:val="a6"/>
        <w:framePr w:w="10502" w:wrap="notBeside" w:vAnchor="text" w:hAnchor="text" w:xAlign="center" w:y="1"/>
        <w:shd w:val="clear" w:color="auto" w:fill="auto"/>
        <w:ind w:firstLine="0"/>
      </w:pPr>
      <w:r>
        <w:t>6. Перелік навчальних програм</w:t>
      </w:r>
      <w:r w:rsidR="00970266">
        <w:t xml:space="preserve"> із предметів</w:t>
      </w:r>
      <w:r w:rsidR="00970266">
        <w:rPr>
          <w:rStyle w:val="a7"/>
          <w:b/>
          <w:bCs/>
        </w:rPr>
        <w:t xml:space="preserve">, </w:t>
      </w:r>
      <w:r w:rsidR="00970266">
        <w:t>що вивчаються в початковій школі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9850"/>
      </w:tblGrid>
      <w:tr w:rsidR="003301C8">
        <w:trPr>
          <w:trHeight w:hRule="exact" w:val="6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rPr>
                <w:rStyle w:val="23"/>
              </w:rPr>
              <w:t>№</w:t>
            </w:r>
          </w:p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rPr>
                <w:rStyle w:val="24"/>
              </w:rPr>
              <w:t>п/п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Назва навчальної програми</w:t>
            </w:r>
          </w:p>
        </w:tc>
      </w:tr>
      <w:tr w:rsidR="003301C8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MicrosoftSansSerif12pt"/>
              </w:rPr>
              <w:t>1</w:t>
            </w:r>
            <w:r>
              <w:rPr>
                <w:rStyle w:val="2LucidaSansUnicode8pt"/>
                <w:b w:val="0"/>
                <w:bCs w:val="0"/>
              </w:rPr>
              <w:t>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Типова освітня програма початкової освіти, розроблена під керівництвом Шияна Р.Б. (наказ МОН України від 12.08.2022 №743)</w:t>
            </w:r>
          </w:p>
        </w:tc>
      </w:tr>
      <w:tr w:rsidR="003301C8">
        <w:trPr>
          <w:trHeight w:hRule="exact" w:val="6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>Типова освітня програма початкової освіти, розроблена під керівництвом Шияна Р.Б. (наказ МОН України від 12.08.2022 №743)</w:t>
            </w:r>
          </w:p>
        </w:tc>
      </w:tr>
      <w:tr w:rsidR="003301C8">
        <w:trPr>
          <w:trHeight w:hRule="exact" w:val="3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3.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Англійська мова</w:t>
            </w:r>
          </w:p>
        </w:tc>
      </w:tr>
    </w:tbl>
    <w:p w:rsidR="003301C8" w:rsidRDefault="003301C8">
      <w:pPr>
        <w:framePr w:w="10502" w:wrap="notBeside" w:vAnchor="text" w:hAnchor="text" w:xAlign="center" w:y="1"/>
        <w:rPr>
          <w:sz w:val="2"/>
          <w:szCs w:val="2"/>
        </w:rPr>
      </w:pPr>
    </w:p>
    <w:p w:rsidR="003301C8" w:rsidRDefault="003301C8">
      <w:pPr>
        <w:rPr>
          <w:sz w:val="2"/>
          <w:szCs w:val="2"/>
        </w:rPr>
      </w:pPr>
    </w:p>
    <w:p w:rsidR="003301C8" w:rsidRDefault="00970266">
      <w:pPr>
        <w:pStyle w:val="40"/>
        <w:shd w:val="clear" w:color="auto" w:fill="auto"/>
        <w:spacing w:before="605" w:line="322" w:lineRule="exact"/>
        <w:ind w:firstLine="760"/>
        <w:jc w:val="both"/>
      </w:pPr>
      <w:r>
        <w:rPr>
          <w:rStyle w:val="41"/>
        </w:rPr>
        <w:t xml:space="preserve">7. </w:t>
      </w:r>
      <w:r w:rsidR="0067688A">
        <w:t>Форми організа</w:t>
      </w:r>
      <w:r>
        <w:t>ції освітнього процесу.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</w:pPr>
      <w:r>
        <w:t>Гімназія навчається за очною формою навчання, про необхідності застосовуються засоби дистанційного навчання. Очікувані результати навчання, окреслені в межах кожної галузі, досяжні, якщо використовувати інтерактивні форми і методи навчання -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301C8" w:rsidRDefault="00970266">
      <w:pPr>
        <w:pStyle w:val="22"/>
        <w:keepNext/>
        <w:keepLines/>
        <w:shd w:val="clear" w:color="auto" w:fill="auto"/>
        <w:spacing w:before="0"/>
      </w:pPr>
      <w:bookmarkStart w:id="3" w:name="bookmark2"/>
      <w:r>
        <w:t>8. Інструментарій оцінювання.</w:t>
      </w:r>
      <w:bookmarkEnd w:id="3"/>
    </w:p>
    <w:p w:rsidR="003301C8" w:rsidRDefault="00970266">
      <w:pPr>
        <w:pStyle w:val="20"/>
        <w:shd w:val="clear" w:color="auto" w:fill="auto"/>
        <w:ind w:firstLine="740"/>
        <w:jc w:val="both"/>
      </w:pPr>
      <w:r>
        <w:t>Спостереження за навчальним поступом учнів та оцінювання цього поступу розпочинається з перших днів навчання дитини у школі і триває постійно. Невід’ємною частиною цього процесу є формування здатності учнів самостійно оцінювати свій поступ.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Навчальні досягнення</w:t>
      </w:r>
      <w:r w:rsidR="0067688A">
        <w:t xml:space="preserve"> </w:t>
      </w:r>
      <w:r>
        <w:t xml:space="preserve">учнів у 1-4-му класах підлягають формувальному та </w:t>
      </w:r>
      <w:r>
        <w:lastRenderedPageBreak/>
        <w:t>підсумковому (тематичному та завершальному) оцінюванню. У 3-4 класах застосовується рівневе підсумкове оцінювання.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Формувальне оцінювання має на меті: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від стежу вати навчальний поступ учнів;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вибудовувати індивідуальну траєкторію розвитку дитини;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діагностувати досягнення на кожному з етапів навчання;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вчасно виявляти проблеми й запобігати їх нашаруванню;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запобігати побоюванням дитини помилитися;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плекати впевненість у власних можливостях і здібностях.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Орієнтирами для оцінювання навчальних досягнень учнів (формувального і підсумкового) є очікувані результати навчання, об’єднані за галузями та проіндексовані відповідно до обов’язкових результатів навчання Державного стандарту початкової освіти.</w:t>
      </w:r>
    </w:p>
    <w:p w:rsidR="003301C8" w:rsidRDefault="00970266">
      <w:pPr>
        <w:pStyle w:val="20"/>
        <w:shd w:val="clear" w:color="auto" w:fill="auto"/>
        <w:spacing w:line="280" w:lineRule="exact"/>
        <w:ind w:firstLine="740"/>
        <w:jc w:val="both"/>
      </w:pPr>
      <w:r>
        <w:t>Очікувані результати навчання слід використовувати для: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280" w:lineRule="exact"/>
        <w:ind w:firstLine="0"/>
        <w:jc w:val="both"/>
      </w:pPr>
      <w:r>
        <w:t>встановлення цілей уроку, окремих видів діяльності учнів, вправ тощо;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07" w:lineRule="exact"/>
        <w:ind w:firstLine="0"/>
        <w:jc w:val="both"/>
      </w:pPr>
      <w:r>
        <w:t>постійного спостереження за на</w:t>
      </w:r>
      <w:r w:rsidR="0067688A">
        <w:t>вчальним поступом учня/ учениці</w:t>
      </w:r>
      <w:r>
        <w:t xml:space="preserve"> з боку вчителів, батьків і самих учнів;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1" w:line="280" w:lineRule="exact"/>
        <w:ind w:firstLine="0"/>
        <w:jc w:val="both"/>
      </w:pPr>
      <w:r>
        <w:t>поточного, зокрема й формувального, оцінювання;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280" w:lineRule="exact"/>
        <w:ind w:firstLine="0"/>
        <w:jc w:val="both"/>
      </w:pPr>
      <w:r>
        <w:t>підсумкового оцінювання (для другого циклу навчання).</w:t>
      </w:r>
    </w:p>
    <w:sectPr w:rsidR="003301C8">
      <w:type w:val="continuous"/>
      <w:pgSz w:w="11900" w:h="16840"/>
      <w:pgMar w:top="456" w:right="346" w:bottom="291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1A" w:rsidRDefault="0045381A">
      <w:r>
        <w:separator/>
      </w:r>
    </w:p>
  </w:endnote>
  <w:endnote w:type="continuationSeparator" w:id="0">
    <w:p w:rsidR="0045381A" w:rsidRDefault="0045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1A" w:rsidRDefault="0045381A"/>
  </w:footnote>
  <w:footnote w:type="continuationSeparator" w:id="0">
    <w:p w:rsidR="0045381A" w:rsidRDefault="004538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69E"/>
    <w:multiLevelType w:val="hybridMultilevel"/>
    <w:tmpl w:val="2A020026"/>
    <w:lvl w:ilvl="0" w:tplc="040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 w15:restartNumberingAfterBreak="0">
    <w:nsid w:val="5E7B6520"/>
    <w:multiLevelType w:val="multilevel"/>
    <w:tmpl w:val="849837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C8"/>
    <w:rsid w:val="00150CD3"/>
    <w:rsid w:val="002169E0"/>
    <w:rsid w:val="003301C8"/>
    <w:rsid w:val="004122F7"/>
    <w:rsid w:val="0045381A"/>
    <w:rsid w:val="0067688A"/>
    <w:rsid w:val="00970266"/>
    <w:rsid w:val="00A276F2"/>
    <w:rsid w:val="00B06C17"/>
    <w:rsid w:val="00C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AD40"/>
  <w15:docId w15:val="{97C609B3-E5B3-47CF-9801-708E75E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 + 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MicrosoftSansSerif12pt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17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2" w:lineRule="exact"/>
      <w:ind w:firstLine="7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3</cp:revision>
  <dcterms:created xsi:type="dcterms:W3CDTF">2025-04-11T06:38:00Z</dcterms:created>
  <dcterms:modified xsi:type="dcterms:W3CDTF">2025-04-11T08:38:00Z</dcterms:modified>
</cp:coreProperties>
</file>