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E" w:rsidRPr="00301D6A" w:rsidRDefault="00CF279E" w:rsidP="00CF27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CF279E" w:rsidRPr="00301D6A" w:rsidRDefault="00CF279E" w:rsidP="00CF27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CF279E" w:rsidRPr="00301D6A" w:rsidRDefault="00CF279E" w:rsidP="00CF27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CF279E" w:rsidRPr="00301D6A" w:rsidRDefault="00CF279E" w:rsidP="00CF27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CF279E" w:rsidRPr="00301D6A" w:rsidRDefault="00CF279E" w:rsidP="00CF27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CF279E" w:rsidRPr="00301D6A" w:rsidRDefault="00CF279E" w:rsidP="00CF27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Болградська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90, с. Броска,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Одеська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обл.,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Ізмаїльський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68663,</w:t>
      </w:r>
      <w:r w:rsidRPr="00301D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тел./факс (04841) 4-08-02, 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. код 26110884</w:t>
      </w:r>
    </w:p>
    <w:p w:rsidR="00CF279E" w:rsidRPr="00301D6A" w:rsidRDefault="00CF279E" w:rsidP="00CF279E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2FAFF"/>
        </w:rPr>
      </w:pPr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301D6A">
          <w:rPr>
            <w:rStyle w:val="a3"/>
            <w:color w:val="1155CC"/>
            <w:sz w:val="24"/>
            <w:szCs w:val="24"/>
            <w:shd w:val="clear" w:color="auto" w:fill="FFFFFF"/>
          </w:rPr>
          <w:t>broska.school75@ukr.net</w:t>
        </w:r>
      </w:hyperlink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301D6A">
          <w:rPr>
            <w:rStyle w:val="a3"/>
            <w:sz w:val="24"/>
            <w:szCs w:val="24"/>
            <w:shd w:val="clear" w:color="auto" w:fill="F2FAFF"/>
          </w:rPr>
          <w:t>https://broska-school.e-schools.info</w:t>
        </w:r>
      </w:hyperlink>
    </w:p>
    <w:p w:rsidR="00531622" w:rsidRPr="00CF279E" w:rsidRDefault="00CF279E" w:rsidP="00CF2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D6A"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97DB90" wp14:editId="4BCEE9E5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  <w:bookmarkStart w:id="0" w:name="_GoBack"/>
      <w:bookmarkEnd w:id="0"/>
    </w:p>
    <w:p w:rsidR="00FA4C7E" w:rsidRPr="00FA4C7E" w:rsidRDefault="00531622" w:rsidP="005316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531622" w:rsidRPr="00531622" w:rsidRDefault="00FA4C7E" w:rsidP="005316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№43/О                                                                              31.05.2021</w:t>
      </w:r>
      <w:r w:rsidR="00531622" w:rsidRPr="00531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31622" w:rsidRPr="00531622" w:rsidRDefault="00531622" w:rsidP="00531622">
      <w:pPr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Про стан </w:t>
      </w:r>
      <w:proofErr w:type="spellStart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планів</w:t>
      </w:r>
      <w:proofErr w:type="spellEnd"/>
    </w:p>
    <w:p w:rsidR="00531622" w:rsidRPr="00531622" w:rsidRDefault="00531622" w:rsidP="00531622">
      <w:pPr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і </w:t>
      </w:r>
      <w:proofErr w:type="spellStart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531622">
        <w:rPr>
          <w:rFonts w:ascii="Times New Roman" w:hAnsi="Times New Roman" w:cs="Times New Roman"/>
          <w:b/>
          <w:spacing w:val="-7"/>
          <w:sz w:val="28"/>
          <w:szCs w:val="28"/>
          <w:lang w:val="ru-RU"/>
        </w:rPr>
        <w:t>за 2020-2021н.р.</w:t>
      </w:r>
    </w:p>
    <w:p w:rsidR="00531622" w:rsidRPr="00531622" w:rsidRDefault="00531622" w:rsidP="00531622">
      <w:pPr>
        <w:tabs>
          <w:tab w:val="left" w:pos="1080"/>
        </w:tabs>
        <w:spacing w:line="360" w:lineRule="auto"/>
        <w:ind w:left="-284" w:right="-432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планом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2020-2021 н. р. та планом контролю за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якістю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навчально-виховної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адміністрацією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у 1-11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календарні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інваріантної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гурткової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Записи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журналах,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вибірково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учнівські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зв’язного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для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Унаслідок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встановлено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педагогічні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працівники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своїй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керуються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31622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методичними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рекомендаціями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МОН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викладання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навчальних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предметів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н.р</w:t>
      </w:r>
      <w:proofErr w:type="spellEnd"/>
      <w:r w:rsidRPr="005316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.,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Інструкцією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ведення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класного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журналу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5-11(12)-х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>класів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(Наказ МОН 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03.06.2008 № 496, 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Інструкцією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щодо</w:t>
      </w:r>
      <w:proofErr w:type="spellEnd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заповнення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hyperlink r:id="rId8" w:anchor="n110" w:history="1">
        <w:proofErr w:type="spellStart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>Класного</w:t>
        </w:r>
        <w:proofErr w:type="spellEnd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 xml:space="preserve"> журналу для 1-4-х </w:t>
        </w:r>
        <w:proofErr w:type="spellStart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>класів</w:t>
        </w:r>
        <w:proofErr w:type="spellEnd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 xml:space="preserve"> </w:t>
        </w:r>
        <w:proofErr w:type="spellStart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>загальноосвітніх</w:t>
        </w:r>
        <w:proofErr w:type="spellEnd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 xml:space="preserve"> </w:t>
        </w:r>
        <w:proofErr w:type="spellStart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>навчальних</w:t>
        </w:r>
        <w:proofErr w:type="spellEnd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 xml:space="preserve"> </w:t>
        </w:r>
        <w:proofErr w:type="spellStart"/>
        <w:r w:rsidRPr="00531622">
          <w:rPr>
            <w:rStyle w:val="a3"/>
            <w:rFonts w:eastAsia="Times New Roman"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 w:eastAsia="uk-UA"/>
          </w:rPr>
          <w:t>закладів</w:t>
        </w:r>
        <w:proofErr w:type="spellEnd"/>
      </w:hyperlink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Наказ 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Міністерства</w:t>
      </w:r>
      <w:proofErr w:type="spellEnd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освітиі</w:t>
      </w:r>
      <w:proofErr w:type="spellEnd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науки 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31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08.04.2015.№ 412).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учнівських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МОН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Педагогами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учнівських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робляться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записи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журналах.</w:t>
      </w:r>
    </w:p>
    <w:p w:rsidR="00531622" w:rsidRPr="00531622" w:rsidRDefault="00531622" w:rsidP="00531622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Варіативна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складова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факультативних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вибором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спецкурсів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рекомендованих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МОН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З метою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.06 по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.06.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адміністрацією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співбесіди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здійснена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шкільної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журналів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календарних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учнівських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з метою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з’ясування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зверталась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увага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програмового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теми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класному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передбаченого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мінімуму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позакласного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обов’язкових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природознавства,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міжпредметних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Default="00531622" w:rsidP="00531622">
      <w:pPr>
        <w:spacing w:line="360" w:lineRule="auto"/>
        <w:ind w:left="-284" w:firstLine="570"/>
        <w:jc w:val="both"/>
        <w:rPr>
          <w:lang w:val="uk-UA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тримає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визначаючи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послідовність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На початку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року,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планом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контролю, </w:t>
      </w:r>
      <w:proofErr w:type="spellStart"/>
      <w:proofErr w:type="gram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31622">
        <w:rPr>
          <w:rFonts w:ascii="Times New Roman" w:hAnsi="Times New Roman" w:cs="Times New Roman"/>
          <w:sz w:val="28"/>
          <w:szCs w:val="28"/>
          <w:lang w:val="ru-RU"/>
        </w:rPr>
        <w:t>іністрацією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перевірено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календарні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вчителів-предметників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: до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бралися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З метою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перевтоми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проводилися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графіка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складеного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заступником директора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Лепською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Н.І..</w:t>
      </w:r>
      <w:r>
        <w:rPr>
          <w:lang w:val="uk-UA"/>
        </w:rPr>
        <w:t xml:space="preserve">  </w:t>
      </w:r>
    </w:p>
    <w:p w:rsidR="00531622" w:rsidRDefault="00531622" w:rsidP="00531622">
      <w:pPr>
        <w:spacing w:line="360" w:lineRule="auto"/>
        <w:ind w:left="-284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15.03.2021 по 25.04.2021 року було введено дистанційне навчання у зв’язку із загострення епідеміологічної ситуації. Вчителі школи працювали на платформах </w:t>
      </w:r>
      <w:r>
        <w:rPr>
          <w:rFonts w:ascii="Times New Roman" w:hAnsi="Times New Roman" w:cs="Times New Roman"/>
          <w:sz w:val="28"/>
          <w:szCs w:val="28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асинхронно або синхронно. Заповнення шкільної документації відбувалося згідно порад МОН України. Навчальний матеріал викладався вчителями відповідно до календарних планів з дотриманням кількості годин,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призначених програмою на кожну тему (враховуючи ущільнення навчального матеріалу). Його в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ивчення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послідовним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годин,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тему. Записи 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журналах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 календарному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плануванню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Default="00531622" w:rsidP="00531622">
      <w:pPr>
        <w:spacing w:line="360" w:lineRule="auto"/>
        <w:ind w:left="-284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початкових класів провели необхідну кількість контрольних робіт,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школи, затверджених наказом Міністерства освіти і науки України затверджених наказом Міністерства освіти і науки України від 19.08.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2016 року №1009.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Практичну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повному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загальної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годин, то є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деякі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розбіжності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головною причиною як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хвороба вчителів, установчі сесії, святкові дні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31622" w:rsidRPr="00531622" w:rsidRDefault="00531622" w:rsidP="00531622">
      <w:pPr>
        <w:tabs>
          <w:tab w:val="left" w:pos="1080"/>
        </w:tabs>
        <w:spacing w:line="360" w:lineRule="auto"/>
        <w:ind w:left="-284" w:right="-432" w:firstLine="284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1-4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Бордіян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Г.А.,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Іовчева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В.В., Михальченко Н.К.,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Колісницька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Н.Ю., Рубцова Н.О.,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Фільчакова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В.І., Ткаченко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робочого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плану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завдяки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ущільненню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Тому 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1-4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практична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уроки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зв’язного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позакласного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проекти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природознавства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основ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5-11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-предметники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спланували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роботу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годин,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що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визначені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робочим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навчальним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планом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закладу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Плани-графіки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відповідають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календарно-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тематичному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плануванню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вчителів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Дотримувалися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написанні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творів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переказів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зв’язного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рідного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краю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Вони проводили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мовленнєвої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говоріння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провели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письма,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говоріння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аудіювання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двічі на рік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дотримуються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Інструктивно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-методичного листа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№119-529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27.12.2000 року «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Орієнтовані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перевірки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зошитів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природничо-математичних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у 5-11-х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провели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 математики.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Вчителі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географії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виконали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передбачену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тематичне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оцінок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31622" w:rsidRDefault="00531622" w:rsidP="00531622">
      <w:pPr>
        <w:tabs>
          <w:tab w:val="left" w:pos="1080"/>
        </w:tabs>
        <w:spacing w:line="360" w:lineRule="auto"/>
        <w:ind w:left="-284" w:right="-43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  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неодноразовими лікарняними, сесією  вчителя природознавства та географії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Г.Г. програма з природознавства у 5-х класах, географії у 6-7 класах виконана за рахунок ущільнення матеріалу, із 70 годин за програмою дано 66 години. У зв’язку із перебуванням на лікарняному вчителя музичного мистецтва Фоміної О.Є. за рахунок ущільнення учбового матеріалу програма з музичного мистецтва у 5- 7 класах виконана з 35 годин дано 33-32, з мистецтва у 8-10 класах виконана з 35 годин дано32- 33 години, в 11 класі з мистецтва дано 63 години із 70 годин; з англійської мови у вчителя Трифонової Н.М. становить в 3-4 класах 6-7 годин,у 8-х класах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 географії у 8-х класах 10-11класах становить 7 годин. В результаті затяжної хвороби вчителів розбіжність у 2-3 години з алгебри та геометрії у 8-10 класах – Журавльова І.І., 6-7 годин з фізичної культури у 7-11класах вчитель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Г.Д., трудове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 у хлопців в 5-6 класах становить 6-9годин, у 7-9 класах 3-5 годин у вчителя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М.О.. </w:t>
      </w:r>
    </w:p>
    <w:p w:rsidR="00531622" w:rsidRDefault="00531622" w:rsidP="00531622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Програма у 5- 11 класах вичитано за рахунок резервного часу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ущільне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повному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обсязі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необхідну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проведено уроки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Згідно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вимогами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проведено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необхідну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письмових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уроків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позакласного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рідного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краю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виразного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(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українська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зарубіжна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Вчителями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англійської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мови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практичну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виконано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повністю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Програмовий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матеріал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вичитано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шляхом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ущільнення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резервного часу. Проведено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необхідну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кількість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перевірок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письма,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аудіювання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говоріння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графіків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тематичних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атестацій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раціональність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ІІ семестру.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Проведені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відкриті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уроки показали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спроможність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інтелектуальний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творчий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факультативів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спецкурсів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поглиблення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допрофільна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створювалися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передумови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поглибленого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свідомому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профілю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), 10-11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профільна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де 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заняттях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формувалися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набутих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виконана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практична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лабораторні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уроки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зв’язного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позакласного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1622" w:rsidRP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засвідчив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proofErr w:type="spellStart"/>
      <w:proofErr w:type="gram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31622">
        <w:rPr>
          <w:rFonts w:ascii="Times New Roman" w:hAnsi="Times New Roman" w:cs="Times New Roman"/>
          <w:sz w:val="28"/>
          <w:szCs w:val="28"/>
          <w:lang w:val="ru-RU"/>
        </w:rPr>
        <w:t>ідсумками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ІІ семестру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%,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становила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% .</w:t>
      </w:r>
    </w:p>
    <w:p w:rsidR="00531622" w:rsidRDefault="00531622" w:rsidP="00531622">
      <w:pPr>
        <w:spacing w:line="360" w:lineRule="auto"/>
        <w:ind w:left="-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Аналіз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результатів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навчання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53162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І </w:t>
      </w:r>
      <w:proofErr w:type="spellStart"/>
      <w:r w:rsidRPr="0053162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ступеню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 поточному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році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proofErr w:type="gram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св</w:t>
      </w:r>
      <w:proofErr w:type="gram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ідчить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про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систематичну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якісну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роботу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вчителів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початкової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школи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: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якість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-А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73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%,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4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-Б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67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%,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загальний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показник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якості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початкової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школи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70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що на 5% вищий ніж показник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 65%</w:t>
      </w:r>
    </w:p>
    <w:p w:rsidR="00531622" w:rsidRDefault="00531622" w:rsidP="00531622">
      <w:pPr>
        <w:suppressAutoHyphens/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Аналіз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рівня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навченості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53162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ступеню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показав,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що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найвищий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показник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якості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6-А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класу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77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%,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найнижчий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 7-А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класі</w:t>
      </w:r>
      <w:proofErr w:type="spellEnd"/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33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%.</w:t>
      </w:r>
    </w:p>
    <w:p w:rsidR="00531622" w:rsidRPr="00531622" w:rsidRDefault="00531622" w:rsidP="00531622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показник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ланки – </w:t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31622" w:rsidRPr="00531622" w:rsidRDefault="00531622" w:rsidP="00531622">
      <w:pPr>
        <w:suppressAutoHyphens/>
        <w:spacing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Порівняльний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якості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середньої</w:t>
      </w:r>
      <w:proofErr w:type="spellEnd"/>
      <w:r w:rsidRPr="0053162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ланки</w:t>
      </w:r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(ІІ семестр)</w:t>
      </w:r>
    </w:p>
    <w:p w:rsidR="00531622" w:rsidRPr="00531622" w:rsidRDefault="00531622" w:rsidP="00531622">
      <w:pPr>
        <w:suppressAutoHyphens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2 роки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свідчить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наявність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негативної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динаміки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 якості знань у 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53162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– 71%.</w:t>
      </w:r>
    </w:p>
    <w:p w:rsid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Аналіз рівня навченості учнів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 xml:space="preserve">І ступеня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свідчить про  негативну динаміку та зниження якості знань в учнів 11 класу. В результаті відміни державної підсумкової атестації учні 11 класу не відповідально відносяться до своїх прямих обов’язків щодо навчання. Загальний  показник  якості навчання складає 43%. </w:t>
      </w:r>
    </w:p>
    <w:p w:rsid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засіданнях м/о було  проведено обговорення стану виконання навчальних планів і програм, проаналізовано  підсумки навчальних досягнень за І семестр, вивчена динаміка успішності учнів порівняно з минулими роками. Обговорювалися проблеми, пов’язані з диференціацією навчання та шляхи їх усунення, недоліки в контролі за діяльністю учнів на уроках.</w:t>
      </w:r>
    </w:p>
    <w:p w:rsidR="00531622" w:rsidRDefault="00531622" w:rsidP="00531622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вище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сказаного</w:t>
      </w:r>
      <w:proofErr w:type="spellEnd"/>
    </w:p>
    <w:p w:rsidR="00531622" w:rsidRPr="00531622" w:rsidRDefault="00531622" w:rsidP="00531622">
      <w:pPr>
        <w:spacing w:line="36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Наказую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531622" w:rsidRDefault="00531622" w:rsidP="00531622">
      <w:pPr>
        <w:numPr>
          <w:ilvl w:val="0"/>
          <w:numId w:val="1"/>
        </w:num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1622" w:rsidRDefault="00531622" w:rsidP="00531622">
      <w:pPr>
        <w:pStyle w:val="a4"/>
        <w:widowControl/>
        <w:numPr>
          <w:ilvl w:val="1"/>
          <w:numId w:val="2"/>
        </w:numPr>
        <w:autoSpaceDE/>
        <w:adjustRightInd/>
        <w:spacing w:line="360" w:lineRule="auto"/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не допускати формального підходу до виконання планів індивідуально-групових, </w:t>
      </w:r>
      <w:proofErr w:type="spellStart"/>
      <w:r>
        <w:rPr>
          <w:sz w:val="28"/>
          <w:szCs w:val="28"/>
          <w:lang w:val="uk-UA"/>
        </w:rPr>
        <w:t>корекційних</w:t>
      </w:r>
      <w:proofErr w:type="spellEnd"/>
      <w:r>
        <w:rPr>
          <w:sz w:val="28"/>
          <w:szCs w:val="28"/>
          <w:lang w:val="uk-UA"/>
        </w:rPr>
        <w:t xml:space="preserve"> занять з учнями;</w:t>
      </w:r>
    </w:p>
    <w:p w:rsidR="00531622" w:rsidRDefault="00531622" w:rsidP="00531622">
      <w:pPr>
        <w:pStyle w:val="a4"/>
        <w:widowControl/>
        <w:numPr>
          <w:ilvl w:val="1"/>
          <w:numId w:val="2"/>
        </w:numPr>
        <w:autoSpaceDE/>
        <w:adjustRightInd/>
        <w:spacing w:line="360" w:lineRule="auto"/>
        <w:ind w:left="-284" w:firstLine="284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організувати на початку 2021-2022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дистанційно;</w:t>
      </w:r>
    </w:p>
    <w:p w:rsidR="00531622" w:rsidRDefault="00531622" w:rsidP="00531622">
      <w:pPr>
        <w:pStyle w:val="a4"/>
        <w:widowControl/>
        <w:numPr>
          <w:ilvl w:val="1"/>
          <w:numId w:val="2"/>
        </w:numPr>
        <w:autoSpaceDE/>
        <w:adjustRightInd/>
        <w:spacing w:line="360" w:lineRule="auto"/>
        <w:ind w:left="-284" w:firstLine="284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передбачити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календарно-</w:t>
      </w:r>
      <w:proofErr w:type="spellStart"/>
      <w:r>
        <w:rPr>
          <w:color w:val="000000"/>
          <w:sz w:val="28"/>
          <w:szCs w:val="28"/>
        </w:rPr>
        <w:t>тематичного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суттєве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часу на </w:t>
      </w:r>
      <w:proofErr w:type="spellStart"/>
      <w:r>
        <w:rPr>
          <w:color w:val="000000"/>
          <w:sz w:val="28"/>
          <w:szCs w:val="28"/>
        </w:rPr>
        <w:t>узагальнення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закріплення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матеріалу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попередній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31622" w:rsidRDefault="00531622" w:rsidP="00531622">
      <w:pPr>
        <w:pStyle w:val="a4"/>
        <w:widowControl/>
        <w:numPr>
          <w:ilvl w:val="1"/>
          <w:numId w:val="2"/>
        </w:numPr>
        <w:autoSpaceDE/>
        <w:adjustRightInd/>
        <w:spacing w:line="360" w:lineRule="auto"/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складанні календарного планування , здійснюючи об’єднання тем, не допускати перевантаження, перевтоми учнів;</w:t>
      </w:r>
    </w:p>
    <w:p w:rsidR="00531622" w:rsidRDefault="00531622" w:rsidP="00531622">
      <w:pPr>
        <w:numPr>
          <w:ilvl w:val="1"/>
          <w:numId w:val="2"/>
        </w:num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контрольні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за ІІ семестр, з метою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пробілів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спланувати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повторення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тем в І 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семестрі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31622">
        <w:rPr>
          <w:rFonts w:ascii="Times New Roman" w:hAnsi="Times New Roman" w:cs="Times New Roman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proofErr w:type="spellStart"/>
      <w:r w:rsidRPr="00531622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531622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531622" w:rsidRPr="00531622" w:rsidRDefault="00531622" w:rsidP="00531622">
      <w:pPr>
        <w:numPr>
          <w:ilvl w:val="1"/>
          <w:numId w:val="2"/>
        </w:num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спланувати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індивідуальних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консультацій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додаткових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занять для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мають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початковий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рівень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досягнень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повторення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вивченого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матеріалу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вересні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н.р</w:t>
      </w:r>
      <w:proofErr w:type="spellEnd"/>
      <w:r w:rsidRPr="00531622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531622" w:rsidRDefault="00531622" w:rsidP="00531622">
      <w:pPr>
        <w:numPr>
          <w:ilvl w:val="0"/>
          <w:numId w:val="1"/>
        </w:num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531622" w:rsidRDefault="00531622" w:rsidP="00531622">
      <w:pPr>
        <w:pStyle w:val="a4"/>
        <w:numPr>
          <w:ilvl w:val="1"/>
          <w:numId w:val="3"/>
        </w:numPr>
        <w:spacing w:line="360" w:lineRule="auto"/>
        <w:ind w:left="-284" w:firstLine="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серпневих засіданнях </w:t>
      </w:r>
      <w:proofErr w:type="spellStart"/>
      <w:r>
        <w:rPr>
          <w:sz w:val="28"/>
          <w:szCs w:val="28"/>
          <w:lang w:val="uk-UA"/>
        </w:rPr>
        <w:t>озна</w:t>
      </w:r>
      <w:r>
        <w:rPr>
          <w:sz w:val="28"/>
          <w:szCs w:val="28"/>
        </w:rPr>
        <w:t>йомитися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методичними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рекомендаціями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–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531622" w:rsidRDefault="00531622" w:rsidP="00531622">
      <w:pPr>
        <w:pStyle w:val="a4"/>
        <w:numPr>
          <w:ilvl w:val="1"/>
          <w:numId w:val="3"/>
        </w:numPr>
        <w:spacing w:line="360" w:lineRule="auto"/>
        <w:ind w:left="-284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виробити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Державного</w:t>
      </w:r>
      <w:proofErr w:type="gramEnd"/>
      <w:r>
        <w:rPr>
          <w:sz w:val="28"/>
          <w:szCs w:val="28"/>
        </w:rPr>
        <w:t xml:space="preserve"> стандарту. </w:t>
      </w:r>
    </w:p>
    <w:p w:rsidR="00531622" w:rsidRDefault="00531622" w:rsidP="00531622">
      <w:pPr>
        <w:pStyle w:val="a4"/>
        <w:widowControl/>
        <w:numPr>
          <w:ilvl w:val="1"/>
          <w:numId w:val="3"/>
        </w:numPr>
        <w:autoSpaceDE/>
        <w:adjustRightInd/>
        <w:spacing w:line="360" w:lineRule="auto"/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допускати формального підходу аналізу наказів та довідок адміністрації щодо стану ведення шкільної документації</w:t>
      </w:r>
    </w:p>
    <w:p w:rsidR="00531622" w:rsidRDefault="00531622" w:rsidP="00531622">
      <w:pPr>
        <w:ind w:left="-284"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531622" w:rsidRPr="00FA4C7E" w:rsidRDefault="00531622" w:rsidP="00FA4C7E">
      <w:pPr>
        <w:ind w:left="-284"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4C7E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FA4C7E">
        <w:rPr>
          <w:rFonts w:ascii="Times New Roman" w:hAnsi="Times New Roman" w:cs="Times New Roman"/>
          <w:sz w:val="28"/>
          <w:szCs w:val="28"/>
          <w:lang w:val="uk-UA"/>
        </w:rPr>
        <w:t xml:space="preserve"> закладу           </w:t>
      </w:r>
      <w:r w:rsidRPr="00FA4C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FA4C7E">
        <w:rPr>
          <w:rFonts w:ascii="Times New Roman" w:hAnsi="Times New Roman" w:cs="Times New Roman"/>
          <w:sz w:val="28"/>
          <w:szCs w:val="28"/>
          <w:lang w:val="ru-RU"/>
        </w:rPr>
        <w:t>Водзяновська</w:t>
      </w:r>
      <w:proofErr w:type="spellEnd"/>
      <w:r w:rsidRPr="00FA4C7E">
        <w:rPr>
          <w:rFonts w:ascii="Times New Roman" w:hAnsi="Times New Roman" w:cs="Times New Roman"/>
          <w:sz w:val="28"/>
          <w:szCs w:val="28"/>
          <w:lang w:val="ru-RU"/>
        </w:rPr>
        <w:t xml:space="preserve"> А.П.</w:t>
      </w:r>
    </w:p>
    <w:p w:rsidR="00531622" w:rsidRPr="00FA4C7E" w:rsidRDefault="00531622" w:rsidP="00531622">
      <w:pPr>
        <w:rPr>
          <w:lang w:val="ru-RU"/>
        </w:rPr>
      </w:pPr>
    </w:p>
    <w:p w:rsidR="00531622" w:rsidRPr="00F56A62" w:rsidRDefault="00531622">
      <w:pPr>
        <w:rPr>
          <w:lang w:val="uk-UA"/>
        </w:rPr>
      </w:pPr>
    </w:p>
    <w:sectPr w:rsidR="00531622" w:rsidRPr="00F56A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694"/>
    <w:multiLevelType w:val="multilevel"/>
    <w:tmpl w:val="DEAC00B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33B97D8D"/>
    <w:multiLevelType w:val="hybridMultilevel"/>
    <w:tmpl w:val="2FE48384"/>
    <w:lvl w:ilvl="0" w:tplc="D4D8F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2F9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B2D1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560F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6CC1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8F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4454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9C6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52FF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9F770D5"/>
    <w:multiLevelType w:val="multilevel"/>
    <w:tmpl w:val="BAA8783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45"/>
    <w:rsid w:val="003230DC"/>
    <w:rsid w:val="00531622"/>
    <w:rsid w:val="00BB5AB8"/>
    <w:rsid w:val="00BF0445"/>
    <w:rsid w:val="00CF279E"/>
    <w:rsid w:val="00F56A62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2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316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2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53162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47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7</cp:revision>
  <cp:lastPrinted>2021-08-05T06:16:00Z</cp:lastPrinted>
  <dcterms:created xsi:type="dcterms:W3CDTF">2021-05-14T10:33:00Z</dcterms:created>
  <dcterms:modified xsi:type="dcterms:W3CDTF">2021-08-05T06:16:00Z</dcterms:modified>
</cp:coreProperties>
</file>