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51" w:rsidRPr="00120751" w:rsidRDefault="00120751" w:rsidP="00120751">
      <w:pPr>
        <w:shd w:val="clear" w:color="auto" w:fill="FFFFFF"/>
        <w:spacing w:before="150" w:after="150" w:line="264" w:lineRule="atLeast"/>
        <w:ind w:right="150"/>
        <w:outlineLvl w:val="0"/>
        <w:rPr>
          <w:rFonts w:ascii="Roboto Light" w:eastAsia="Times New Roman" w:hAnsi="Roboto Light" w:cs="Times New Roman"/>
          <w:color w:val="3A3A3A"/>
          <w:kern w:val="36"/>
          <w:sz w:val="42"/>
          <w:szCs w:val="42"/>
          <w:lang w:eastAsia="ru-RU"/>
        </w:rPr>
      </w:pPr>
      <w:proofErr w:type="spellStart"/>
      <w:r w:rsidRPr="00120751">
        <w:rPr>
          <w:rFonts w:ascii="Roboto Light" w:eastAsia="Times New Roman" w:hAnsi="Roboto Light" w:cs="Times New Roman"/>
          <w:color w:val="3A3A3A"/>
          <w:kern w:val="36"/>
          <w:sz w:val="42"/>
          <w:szCs w:val="42"/>
          <w:lang w:eastAsia="ru-RU"/>
        </w:rPr>
        <w:t>Конфлікт</w:t>
      </w:r>
      <w:proofErr w:type="spellEnd"/>
      <w:r w:rsidRPr="00120751">
        <w:rPr>
          <w:rFonts w:ascii="Roboto Light" w:eastAsia="Times New Roman" w:hAnsi="Roboto Light" w:cs="Times New Roman"/>
          <w:color w:val="3A3A3A"/>
          <w:kern w:val="36"/>
          <w:sz w:val="42"/>
          <w:szCs w:val="42"/>
          <w:lang w:eastAsia="ru-RU"/>
        </w:rPr>
        <w:t xml:space="preserve"> і </w:t>
      </w:r>
      <w:proofErr w:type="spellStart"/>
      <w:r w:rsidRPr="00120751">
        <w:rPr>
          <w:rFonts w:ascii="Roboto Light" w:eastAsia="Times New Roman" w:hAnsi="Roboto Light" w:cs="Times New Roman"/>
          <w:color w:val="3A3A3A"/>
          <w:kern w:val="36"/>
          <w:sz w:val="42"/>
          <w:szCs w:val="42"/>
          <w:lang w:eastAsia="ru-RU"/>
        </w:rPr>
        <w:t>булінг</w:t>
      </w:r>
      <w:proofErr w:type="spellEnd"/>
      <w:r w:rsidRPr="00120751">
        <w:rPr>
          <w:rFonts w:ascii="Roboto Light" w:eastAsia="Times New Roman" w:hAnsi="Roboto Light" w:cs="Times New Roman"/>
          <w:color w:val="3A3A3A"/>
          <w:kern w:val="36"/>
          <w:sz w:val="42"/>
          <w:szCs w:val="42"/>
          <w:lang w:eastAsia="ru-RU"/>
        </w:rPr>
        <w:t>: де проходить межа?</w:t>
      </w:r>
      <w:bookmarkStart w:id="0" w:name="_GoBack"/>
      <w:bookmarkEnd w:id="0"/>
    </w:p>
    <w:p w:rsidR="00120751" w:rsidRPr="00120751" w:rsidRDefault="00120751" w:rsidP="00120751">
      <w:pPr>
        <w:shd w:val="clear" w:color="auto" w:fill="FFFFFF"/>
        <w:spacing w:line="330" w:lineRule="atLeast"/>
        <w:rPr>
          <w:rFonts w:ascii="Roboto" w:eastAsia="Times New Roman" w:hAnsi="Roboto" w:cs="Times New Roman"/>
          <w:color w:val="979797"/>
          <w:sz w:val="18"/>
          <w:szCs w:val="18"/>
          <w:lang w:eastAsia="ru-RU"/>
        </w:rPr>
      </w:pPr>
    </w:p>
    <w:p w:rsidR="00120751" w:rsidRPr="00120751" w:rsidRDefault="00120751" w:rsidP="00120751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120751">
        <w:rPr>
          <w:rFonts w:ascii="Georgia" w:eastAsia="Times New Roman" w:hAnsi="Georgia" w:cs="Times New Roman"/>
          <w:noProof/>
          <w:color w:val="515151"/>
          <w:sz w:val="24"/>
          <w:szCs w:val="24"/>
          <w:lang w:eastAsia="ru-RU"/>
        </w:rPr>
        <w:drawing>
          <wp:inline distT="0" distB="0" distL="0" distR="0" wp14:anchorId="341164D2" wp14:editId="17238202">
            <wp:extent cx="7616190" cy="4356735"/>
            <wp:effectExtent l="0" t="0" r="3810" b="5715"/>
            <wp:docPr id="1" name="Рисунок 1" descr="https://osvitanova.com.ua/ckeditor_assets/pictures/10220/content_1210_%28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vitanova.com.ua/ckeditor_assets/pictures/10220/content_1210_%283%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90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751" w:rsidRPr="00120751" w:rsidRDefault="00120751" w:rsidP="00120751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Іноді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ми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думаємо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що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«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» та «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» –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тотожні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поняття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Це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не так!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Якщо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грамотне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вирішення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конфліктних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ситуацій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допомагає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дітям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опанувати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необхідні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соціальні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навички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то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можна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назвати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«обрядом»,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який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здатен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зробити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учнів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сильнішими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Це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цькування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що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робить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дітей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жорстокішими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травмує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їхню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психіку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і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може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мати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серйозні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наслідки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– нормальна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частина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динаміки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групи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–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патологія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її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розвитку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 </w:t>
      </w:r>
    </w:p>
    <w:p w:rsidR="00120751" w:rsidRPr="00120751" w:rsidRDefault="00120751" w:rsidP="00120751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Учителі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мають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навчитися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диференціювати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цькування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і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вміти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правильно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реагувати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на них.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Якщо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вчитель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плутає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хуліганство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дружнє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кепкування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піддражнювання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однокласників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із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булінгом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це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може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погано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відобразитися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взаєминах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у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класі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. Як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саме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? </w:t>
      </w:r>
    </w:p>
    <w:p w:rsidR="00120751" w:rsidRPr="00120751" w:rsidRDefault="00120751" w:rsidP="00120751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Наприклад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якщо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учні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щось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поділили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їм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 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можуть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сказати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 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щось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кшталт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«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це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булер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варто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тобі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з ним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дружити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»,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або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«не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вибачай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його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він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випадково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так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робить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». У такому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випадку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кожна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із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конфліктуючих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сторін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так і 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навчиться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конструктивно вести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діалог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. Той, кого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звинувачують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і той,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хто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постраждав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поступово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втрачають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довіру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до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світу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: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першого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розуміють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і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вважають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агресором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хоча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він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відстоював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власні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інтереси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тоді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як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другий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вважає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себе жертвою.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Саме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тому ми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радимо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педагогам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спершу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розібратися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у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ситуації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вже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потім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втручатися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Це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один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із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найважливіших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моментів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</w:t>
      </w:r>
    </w:p>
    <w:p w:rsidR="00120751" w:rsidRPr="00120751" w:rsidRDefault="00120751" w:rsidP="00120751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120751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t>ЗВЕРНІТЬ УВАГУ!</w:t>
      </w:r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 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Нерідко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виявити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випадки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насильства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у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навчальному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закладі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важко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Це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пов'язано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з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тим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що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кривдники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спостерігачі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діють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у тих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місцях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де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контроювати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їх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складно,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або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взагалі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неможливо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(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коридори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вбиральні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роздягальні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lastRenderedPageBreak/>
        <w:t>подвір'я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тощо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).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Ще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може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траплятися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поза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територією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навчального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закладу (по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дорозі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додому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під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час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шкільних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екскурсій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тощо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)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 у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соцмережах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Потерпілий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спостерігачі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як правило, 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повідомляють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нікого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про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випадки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через страх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зізнатись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або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щоб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їх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вважали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«ябедником/ябедницею».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Учителі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мають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систематично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цікавитися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справами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своїх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вихованців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щоб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легше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виявити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підозрілу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поведінку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когось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із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класу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зупинити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його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ранніх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проявах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</w:t>
      </w:r>
    </w:p>
    <w:p w:rsidR="00120751" w:rsidRPr="00120751" w:rsidRDefault="00120751" w:rsidP="00120751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Уміти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відрізняти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від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мають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лише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вчителі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а й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учні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Досить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часто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спостерігачі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виправдовують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своє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невтручання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тим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що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вважали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це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конфліктом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або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невинними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жартами. «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Лікнеп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»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щодо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 заходи з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виховання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толерантності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 –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дієві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форми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профілактики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цькування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 </w:t>
      </w:r>
    </w:p>
    <w:p w:rsidR="00120751" w:rsidRPr="00120751" w:rsidRDefault="00120751" w:rsidP="00120751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515151"/>
          <w:sz w:val="36"/>
          <w:szCs w:val="36"/>
          <w:lang w:eastAsia="ru-RU"/>
        </w:rPr>
      </w:pPr>
      <w:proofErr w:type="spellStart"/>
      <w:r w:rsidRPr="00120751">
        <w:rPr>
          <w:rFonts w:ascii="inherit" w:eastAsia="Times New Roman" w:hAnsi="inherit" w:cs="Times New Roman"/>
          <w:color w:val="515151"/>
          <w:sz w:val="36"/>
          <w:szCs w:val="36"/>
          <w:lang w:eastAsia="ru-RU"/>
        </w:rPr>
        <w:t>Ознаки</w:t>
      </w:r>
      <w:proofErr w:type="spellEnd"/>
      <w:r w:rsidRPr="00120751">
        <w:rPr>
          <w:rFonts w:ascii="inherit" w:eastAsia="Times New Roman" w:hAnsi="inherit" w:cs="Times New Roman"/>
          <w:color w:val="515151"/>
          <w:sz w:val="36"/>
          <w:szCs w:val="36"/>
          <w:lang w:eastAsia="ru-RU"/>
        </w:rPr>
        <w:t xml:space="preserve"> </w:t>
      </w:r>
      <w:proofErr w:type="spellStart"/>
      <w:r w:rsidRPr="00120751">
        <w:rPr>
          <w:rFonts w:ascii="inherit" w:eastAsia="Times New Roman" w:hAnsi="inherit" w:cs="Times New Roman"/>
          <w:color w:val="515151"/>
          <w:sz w:val="36"/>
          <w:szCs w:val="36"/>
          <w:lang w:eastAsia="ru-RU"/>
        </w:rPr>
        <w:t>конфліктних</w:t>
      </w:r>
      <w:proofErr w:type="spellEnd"/>
      <w:r w:rsidRPr="00120751">
        <w:rPr>
          <w:rFonts w:ascii="inherit" w:eastAsia="Times New Roman" w:hAnsi="inherit" w:cs="Times New Roman"/>
          <w:color w:val="515151"/>
          <w:sz w:val="36"/>
          <w:szCs w:val="36"/>
          <w:lang w:eastAsia="ru-RU"/>
        </w:rPr>
        <w:t xml:space="preserve"> </w:t>
      </w:r>
      <w:proofErr w:type="spellStart"/>
      <w:r w:rsidRPr="00120751">
        <w:rPr>
          <w:rFonts w:ascii="inherit" w:eastAsia="Times New Roman" w:hAnsi="inherit" w:cs="Times New Roman"/>
          <w:color w:val="515151"/>
          <w:sz w:val="36"/>
          <w:szCs w:val="36"/>
          <w:lang w:eastAsia="ru-RU"/>
        </w:rPr>
        <w:t>ситуацій</w:t>
      </w:r>
      <w:proofErr w:type="spellEnd"/>
    </w:p>
    <w:p w:rsidR="00120751" w:rsidRPr="00120751" w:rsidRDefault="00120751" w:rsidP="00120751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120751">
        <w:rPr>
          <w:rFonts w:ascii="Georgia" w:eastAsia="Times New Roman" w:hAnsi="Georgia" w:cs="Times New Roman"/>
          <w:noProof/>
          <w:color w:val="515151"/>
          <w:sz w:val="24"/>
          <w:szCs w:val="24"/>
          <w:lang w:eastAsia="ru-RU"/>
        </w:rPr>
        <w:drawing>
          <wp:inline distT="0" distB="0" distL="0" distR="0" wp14:anchorId="1A55A382" wp14:editId="64079896">
            <wp:extent cx="8100695" cy="6476365"/>
            <wp:effectExtent l="0" t="0" r="0" b="635"/>
            <wp:docPr id="2" name="Рисунок 2" descr="https://naurok.com.ua/uploads/blog-2020/rega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.com.ua/uploads/blog-2020/regasho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695" cy="647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751" w:rsidRPr="00120751" w:rsidRDefault="00120751" w:rsidP="00120751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lastRenderedPageBreak/>
        <w:t xml:space="preserve">Коли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виникає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кожна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його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сторона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має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баланс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сили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(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відносна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рівність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фізичних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сил)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влади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у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стосунках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(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немає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домінування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кожна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сторона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здатна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однаково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впливати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процес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). </w:t>
      </w:r>
    </w:p>
    <w:p w:rsidR="00120751" w:rsidRPr="00120751" w:rsidRDefault="00120751" w:rsidP="00120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Приблизно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однакова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емоційна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реакція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обох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сторін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</w:t>
      </w:r>
    </w:p>
    <w:p w:rsidR="00120751" w:rsidRPr="00120751" w:rsidRDefault="00120751" w:rsidP="00120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Часто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після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кожна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сторона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відчуває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докори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сумління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бере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всю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відповідальність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за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свої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вчинки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на себе.</w:t>
      </w:r>
    </w:p>
    <w:p w:rsidR="00120751" w:rsidRPr="00120751" w:rsidRDefault="00120751" w:rsidP="00120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Діти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намагаються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порозумітися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щоб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покращити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стосунки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</w:t>
      </w:r>
    </w:p>
    <w:p w:rsidR="00120751" w:rsidRPr="00120751" w:rsidRDefault="00120751" w:rsidP="00120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трапляються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час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від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часу,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зазвичай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вони не є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серйозними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емоційно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шкідливими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для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дітей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</w:t>
      </w:r>
    </w:p>
    <w:p w:rsidR="00120751" w:rsidRPr="00120751" w:rsidRDefault="00120751" w:rsidP="00120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як правило,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випадкові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обидві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сторони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мають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злого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умислу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</w:t>
      </w:r>
    </w:p>
    <w:p w:rsidR="00120751" w:rsidRPr="00120751" w:rsidRDefault="00120751" w:rsidP="00120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змушує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людину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почувати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себе погано через те, ким вона є.</w:t>
      </w:r>
    </w:p>
    <w:p w:rsidR="00120751" w:rsidRPr="00120751" w:rsidRDefault="00120751" w:rsidP="00120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У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вирішенні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діти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застосовують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тактику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залякування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</w:t>
      </w:r>
    </w:p>
    <w:p w:rsidR="00120751" w:rsidRPr="00120751" w:rsidRDefault="00120751" w:rsidP="00120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Діти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які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стали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учасниками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часто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грають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разом.</w:t>
      </w:r>
    </w:p>
    <w:p w:rsidR="00120751" w:rsidRPr="00120751" w:rsidRDefault="00120751" w:rsidP="00120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відбувається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через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непорозуміння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обох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сторін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</w:t>
      </w:r>
    </w:p>
    <w:p w:rsidR="00120751" w:rsidRPr="00120751" w:rsidRDefault="00120751" w:rsidP="00120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За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поведінкою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стоїть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бажання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кожної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сторін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відстояти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свою думку.</w:t>
      </w:r>
    </w:p>
    <w:p w:rsidR="00120751" w:rsidRPr="00120751" w:rsidRDefault="00120751" w:rsidP="00120751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t>Примітка</w:t>
      </w:r>
      <w:proofErr w:type="spellEnd"/>
      <w:r w:rsidRPr="00120751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t>.</w:t>
      </w:r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 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Іноді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буває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так,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що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дитина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тривалий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час дружить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із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однокласниками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потім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починає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конфліктувати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з ними. </w:t>
      </w:r>
    </w:p>
    <w:p w:rsidR="00120751" w:rsidRPr="00120751" w:rsidRDefault="00120751" w:rsidP="00120751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515151"/>
          <w:sz w:val="36"/>
          <w:szCs w:val="36"/>
          <w:lang w:eastAsia="ru-RU"/>
        </w:rPr>
      </w:pPr>
      <w:proofErr w:type="spellStart"/>
      <w:r w:rsidRPr="00120751">
        <w:rPr>
          <w:rFonts w:ascii="inherit" w:eastAsia="Times New Roman" w:hAnsi="inherit" w:cs="Times New Roman"/>
          <w:color w:val="515151"/>
          <w:sz w:val="36"/>
          <w:szCs w:val="36"/>
          <w:lang w:eastAsia="ru-RU"/>
        </w:rPr>
        <w:t>Ознаки</w:t>
      </w:r>
      <w:proofErr w:type="spellEnd"/>
      <w:r w:rsidRPr="00120751">
        <w:rPr>
          <w:rFonts w:ascii="inherit" w:eastAsia="Times New Roman" w:hAnsi="inherit" w:cs="Times New Roman"/>
          <w:color w:val="515151"/>
          <w:sz w:val="36"/>
          <w:szCs w:val="36"/>
          <w:lang w:eastAsia="ru-RU"/>
        </w:rPr>
        <w:t xml:space="preserve"> </w:t>
      </w:r>
      <w:proofErr w:type="spellStart"/>
      <w:r w:rsidRPr="00120751">
        <w:rPr>
          <w:rFonts w:ascii="inherit" w:eastAsia="Times New Roman" w:hAnsi="inherit" w:cs="Times New Roman"/>
          <w:color w:val="515151"/>
          <w:sz w:val="36"/>
          <w:szCs w:val="36"/>
          <w:lang w:eastAsia="ru-RU"/>
        </w:rPr>
        <w:t>булінгу</w:t>
      </w:r>
      <w:proofErr w:type="spellEnd"/>
      <w:r w:rsidRPr="00120751">
        <w:rPr>
          <w:rFonts w:ascii="inherit" w:eastAsia="Times New Roman" w:hAnsi="inherit" w:cs="Times New Roman"/>
          <w:color w:val="515151"/>
          <w:sz w:val="36"/>
          <w:szCs w:val="36"/>
          <w:lang w:eastAsia="ru-RU"/>
        </w:rPr>
        <w:t xml:space="preserve"> (</w:t>
      </w:r>
      <w:proofErr w:type="spellStart"/>
      <w:r w:rsidRPr="00120751">
        <w:rPr>
          <w:rFonts w:ascii="inherit" w:eastAsia="Times New Roman" w:hAnsi="inherit" w:cs="Times New Roman"/>
          <w:color w:val="515151"/>
          <w:sz w:val="36"/>
          <w:szCs w:val="36"/>
          <w:lang w:eastAsia="ru-RU"/>
        </w:rPr>
        <w:t>цькування</w:t>
      </w:r>
      <w:proofErr w:type="spellEnd"/>
      <w:r w:rsidRPr="00120751">
        <w:rPr>
          <w:rFonts w:ascii="inherit" w:eastAsia="Times New Roman" w:hAnsi="inherit" w:cs="Times New Roman"/>
          <w:color w:val="515151"/>
          <w:sz w:val="36"/>
          <w:szCs w:val="36"/>
          <w:lang w:eastAsia="ru-RU"/>
        </w:rPr>
        <w:t>)</w:t>
      </w:r>
    </w:p>
    <w:p w:rsidR="00120751" w:rsidRPr="00120751" w:rsidRDefault="00120751" w:rsidP="00120751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120751">
        <w:rPr>
          <w:rFonts w:ascii="Georgia" w:eastAsia="Times New Roman" w:hAnsi="Georgia" w:cs="Times New Roman"/>
          <w:noProof/>
          <w:color w:val="515151"/>
          <w:sz w:val="24"/>
          <w:szCs w:val="24"/>
          <w:lang w:eastAsia="ru-RU"/>
        </w:rPr>
        <w:drawing>
          <wp:inline distT="0" distB="0" distL="0" distR="0" wp14:anchorId="626E762F" wp14:editId="3E6D86A8">
            <wp:extent cx="6099810" cy="4141470"/>
            <wp:effectExtent l="0" t="0" r="0" b="0"/>
            <wp:docPr id="3" name="Рисунок 3" descr="https://naurok.com.ua/uploads/blog-2020/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.com.ua/uploads/blog-2020/6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751" w:rsidRPr="00120751" w:rsidRDefault="00120751" w:rsidP="0012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Наявні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такі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сторони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: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булер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(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агресор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/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кривдник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),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потерпілий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(жертва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) та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спостерігачі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. Як правило,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булер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обирає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одну жертву.</w:t>
      </w:r>
    </w:p>
    <w:p w:rsidR="00120751" w:rsidRPr="00120751" w:rsidRDefault="00120751" w:rsidP="0012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Влада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обох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сторін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розподілена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нерівномірно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: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булер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домінує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над жертвою.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Сили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агресора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жертви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нерівні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</w:t>
      </w:r>
    </w:p>
    <w:p w:rsidR="00120751" w:rsidRPr="00120751" w:rsidRDefault="00120751" w:rsidP="0012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Учасники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постійно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ворогують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рідко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(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або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зовсім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) 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грають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/не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спілкуються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разом.</w:t>
      </w:r>
    </w:p>
    <w:p w:rsidR="00120751" w:rsidRPr="00120751" w:rsidRDefault="00120751" w:rsidP="0012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lastRenderedPageBreak/>
        <w:t>Психічне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фізичне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насилля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–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спланована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цілеспрямована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повторювана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дія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</w:t>
      </w:r>
    </w:p>
    <w:p w:rsidR="00120751" w:rsidRPr="00120751" w:rsidRDefault="00120751" w:rsidP="0012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Булер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діє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навмисне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свідомо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 </w:t>
      </w:r>
    </w:p>
    <w:p w:rsidR="00120751" w:rsidRPr="00120751" w:rsidRDefault="00120751" w:rsidP="0012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Несе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серйозну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загрозу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для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фізичного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психічного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здоров'я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жертви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</w:t>
      </w:r>
    </w:p>
    <w:p w:rsidR="00120751" w:rsidRPr="00120751" w:rsidRDefault="00120751" w:rsidP="0012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У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жертви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спостерігається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бурна негативна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емоційна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реакція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тоді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як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булер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отримує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задоволення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 </w:t>
      </w:r>
    </w:p>
    <w:p w:rsidR="00120751" w:rsidRPr="00120751" w:rsidRDefault="00120751" w:rsidP="0012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За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поведінкою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булера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 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стоїть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прагнення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gram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до контролю</w:t>
      </w:r>
      <w:proofErr w:type="gram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домінування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над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іншою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людиною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матеріальна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зацікавленість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Агресор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прагне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зробити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жертві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боляче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залякати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принизити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образити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переслідувати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погрожувати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 </w:t>
      </w:r>
    </w:p>
    <w:p w:rsidR="00120751" w:rsidRPr="00120751" w:rsidRDefault="00120751" w:rsidP="0012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Наслідки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: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підпорядкування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поведінки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жертви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інтересам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агресора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тривожність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погана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самооцінка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соціальна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ізоляція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потерпілого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</w:t>
      </w:r>
    </w:p>
    <w:p w:rsidR="00120751" w:rsidRPr="00120751" w:rsidRDefault="00120751" w:rsidP="0012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Булер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відчуває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 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докорів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сумління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за свою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поведінку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 є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звичка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звинувачувати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інших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у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власних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діях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 </w:t>
      </w:r>
    </w:p>
    <w:p w:rsidR="00120751" w:rsidRPr="00120751" w:rsidRDefault="00120751" w:rsidP="0012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Булер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прагне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самоствердитися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за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рахунок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жертви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</w:t>
      </w:r>
    </w:p>
    <w:p w:rsidR="00120751" w:rsidRPr="00120751" w:rsidRDefault="00120751" w:rsidP="0012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Агресор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прикладає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ніяких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зусиль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для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вирішення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проблеми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 </w:t>
      </w:r>
    </w:p>
    <w:p w:rsidR="00120751" w:rsidRPr="00120751" w:rsidRDefault="00120751" w:rsidP="0012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Якщо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дорослі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попросять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агресора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вибачитися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перед жертвою,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він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буде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мститися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потерпілому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/-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коли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нікого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немає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поруч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</w:t>
      </w:r>
    </w:p>
    <w:p w:rsidR="00120751" w:rsidRPr="00120751" w:rsidRDefault="00120751" w:rsidP="0012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Поширені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форми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: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фізичний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(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підніжки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стусани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бійки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нанесення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тілесних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ушкоджень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),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психологічний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(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принизливі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погляди, жести,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образлива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міміка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поширення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чуток,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ігнорування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погрози,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маніпуляція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 шантаж),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економічний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(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крадіжки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пошкодження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одягу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особистих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речей,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вимагання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грошей),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сексуальне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насильство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(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образи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сексуального характеру,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зйомки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під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час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перевдягання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сексуальні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погрози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тощо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) та 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кібербулінг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 (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приниження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за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допомогою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інтернету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).</w:t>
      </w:r>
    </w:p>
    <w:p w:rsidR="00120751" w:rsidRPr="00120751" w:rsidRDefault="00120751" w:rsidP="0012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часто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спрямований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на людей з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інвалідністю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з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іншою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релігією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іншою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сексуальною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орієнтацією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певними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зовнішніми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поведінковими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особливостями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Ще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поширений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пов'язаний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із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расовою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дискримінацією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 </w:t>
      </w:r>
    </w:p>
    <w:p w:rsidR="00120751" w:rsidRPr="00120751" w:rsidRDefault="00120751" w:rsidP="0012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Цікаво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те,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що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випадки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частіше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зустрічаються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у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загальноосвітніх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школах, де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учнів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об'єднують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формально (за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віком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), та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менш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поширені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у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музичних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художніх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школах, де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дітей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об'єднують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за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спільними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інтересами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 </w:t>
      </w:r>
    </w:p>
    <w:p w:rsidR="00120751" w:rsidRPr="00120751" w:rsidRDefault="00120751" w:rsidP="00120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Для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характерний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віктімблеймінг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(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звинувачення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жертви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у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ситуації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насильства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).</w:t>
      </w:r>
    </w:p>
    <w:p w:rsidR="00120751" w:rsidRPr="00120751" w:rsidRDefault="00120751" w:rsidP="00120751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Що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робити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якщо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дитина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розповіла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вам про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неприємну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ситуацію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впевнені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це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конфлікт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?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Радимо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поставити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кілька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запитань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для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уточнення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:</w:t>
      </w:r>
    </w:p>
    <w:p w:rsidR="00120751" w:rsidRPr="00120751" w:rsidRDefault="00120751" w:rsidP="00120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учень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/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учениця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був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/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раніше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жертвою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чужої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агресивної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поведінки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?</w:t>
      </w:r>
    </w:p>
    <w:p w:rsidR="00120751" w:rsidRPr="00120751" w:rsidRDefault="00120751" w:rsidP="00120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Наскільки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сильно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переживає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дитина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щодо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агресивної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поведінки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до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неї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знає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як себе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захистити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?</w:t>
      </w:r>
    </w:p>
    <w:p w:rsidR="00120751" w:rsidRPr="00120751" w:rsidRDefault="00120751" w:rsidP="00120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складно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дитині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самостійно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зупинити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агресивну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поведінку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кривдника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?</w:t>
      </w:r>
    </w:p>
    <w:p w:rsidR="00120751" w:rsidRPr="00120751" w:rsidRDefault="00120751" w:rsidP="00120751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Якщо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дитина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ствердно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відповіла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хоча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б на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одне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з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запитань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скоріш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за все, вона говорить про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! </w:t>
      </w:r>
    </w:p>
    <w:p w:rsidR="00120751" w:rsidRPr="00120751" w:rsidRDefault="00120751" w:rsidP="00120751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120751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t>УВАГА!</w:t>
      </w:r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 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ніколи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припиняється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сам по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собі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Потерпілому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мають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допомогти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вчителі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батьки, психолог,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поліція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та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свідки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Неповідомлення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про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випадки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учасника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освітнього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процесу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є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адміністративним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правопорушенням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, тому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потрібно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негайно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повідомляти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про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факти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вчинення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булінгу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правоохоронцям</w:t>
      </w:r>
      <w:proofErr w:type="spellEnd"/>
      <w:r w:rsidRPr="00120751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!</w:t>
      </w:r>
    </w:p>
    <w:p w:rsidR="00EC3083" w:rsidRDefault="00EC3083"/>
    <w:sectPr w:rsidR="00E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7470E"/>
    <w:multiLevelType w:val="multilevel"/>
    <w:tmpl w:val="59A0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159FB"/>
    <w:multiLevelType w:val="multilevel"/>
    <w:tmpl w:val="6AE6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714657"/>
    <w:multiLevelType w:val="multilevel"/>
    <w:tmpl w:val="6406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F3"/>
    <w:rsid w:val="00120751"/>
    <w:rsid w:val="004D23F3"/>
    <w:rsid w:val="00EC3083"/>
    <w:rsid w:val="00FD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2F01"/>
  <w15:chartTrackingRefBased/>
  <w15:docId w15:val="{0BE212E6-47DF-4C11-8A0D-5EB6E9C8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3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Hp Power</cp:lastModifiedBy>
  <cp:revision>5</cp:revision>
  <dcterms:created xsi:type="dcterms:W3CDTF">2025-01-07T11:13:00Z</dcterms:created>
  <dcterms:modified xsi:type="dcterms:W3CDTF">2025-01-10T21:31:00Z</dcterms:modified>
</cp:coreProperties>
</file>