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1F9" w:rsidRDefault="00AD61F9" w:rsidP="00AD61F9">
      <w:pPr>
        <w:pStyle w:val="1"/>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t>Стаття 59 Закону України Про повну загальну середню освіту. Фінансово-господарська діяльність закладів загальної середньої освіти</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t>1. Заклади загальної середньої освіти провадять фінансово-господарську діяльність відповідно до Бюджетного кодексу України, цього Закону, Закону України "Про освіту" та інших нормативно-правових актів.</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t>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t>формування структури закладу загальної середньої освіти та його штатного розпису;</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t>оплату поточних ремонтних робіт приміщень і споруд закладів загальної середньої освіти;</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t>оплату підвищення кваліфікації педагогічних та інших працівників;</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t>укладення відповідно до законодавства цивільно-правових угод (господарських договорів) для забезпечення діяльності закладу освіти.</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t>2. Фінансування закладів загальної середньої освіти здійснюється з державного та місцевих бюджетів відповідно до Бюджетного кодексу України.</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t>Іншими джерелами фінансування закладів загальної середньої освіти можуть бути:</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t>доходи від надання платних освітніх та інших послуг;</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t>благодійна допомога відповідно до законодавства про благодійну діяльність та благодійні організації;</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t>гранти;</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t>інші джерела фінансування, не заборонені законодавством.</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t>Отримані із зазначених джерел кошти використовуються закладами загальної середньої освіти відповідно до затвердженого кошторису.</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lastRenderedPageBreak/>
        <w:t>Одержання закладом загальної середньої освіти власних надходжень не є підставою для зменшення обсягу його бюджетного фінансування.</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t>3. Отримані закладом загальної середньої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t>4. Фінансово-господарська діяльність закладу загальної середньої освіти здійснюється на основі кошторису, що затверджується засновником з урахуванням пропозицій закладу загальної середньої освіти.</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t>5. Державні, комунальні заклади загальної середньої освіти можуть надавати платні освітні та інші послуги, перелік яких затверджує Кабінет Міністрів України. Керівник державного, комунального закладу загальної середньої освіти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t>Державні, комунальні заклади загальної середньої освіти не можуть надавати (повністю чи частково) платні освітні послуги для досягнення їх учнями результатів навчання (</w:t>
      </w:r>
      <w:proofErr w:type="spellStart"/>
      <w:r>
        <w:rPr>
          <w:rFonts w:ascii="Segoe UI" w:hAnsi="Segoe UI" w:cs="Segoe UI"/>
          <w:color w:val="212529"/>
        </w:rPr>
        <w:t>компетентностей</w:t>
      </w:r>
      <w:proofErr w:type="spellEnd"/>
      <w:r>
        <w:rPr>
          <w:rFonts w:ascii="Segoe UI" w:hAnsi="Segoe UI" w:cs="Segoe UI"/>
          <w:color w:val="212529"/>
        </w:rPr>
        <w:t>), визначених державними стандартами.</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t>У державних і комунальних закладах освіти під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AD61F9" w:rsidRDefault="00AD61F9" w:rsidP="00AD61F9">
      <w:pPr>
        <w:pStyle w:val="a3"/>
        <w:shd w:val="clear" w:color="auto" w:fill="FFFFFF"/>
        <w:spacing w:before="0" w:beforeAutospacing="0"/>
        <w:rPr>
          <w:rFonts w:ascii="Segoe UI" w:hAnsi="Segoe UI" w:cs="Segoe UI"/>
          <w:color w:val="212529"/>
        </w:rPr>
      </w:pPr>
      <w:r>
        <w:rPr>
          <w:rFonts w:ascii="Segoe UI" w:hAnsi="Segoe UI" w:cs="Segoe UI"/>
          <w:color w:val="212529"/>
        </w:rPr>
        <w:t>Учні та їхні батьки можуть отримувати в закладі загальної середньої освіти платні освітні та інші послуги виключно на добровільних засадах.</w:t>
      </w:r>
    </w:p>
    <w:p w:rsidR="00AD61F9" w:rsidRDefault="00AD61F9" w:rsidP="00AD61F9">
      <w:pPr>
        <w:pStyle w:val="text-secondary"/>
        <w:shd w:val="clear" w:color="auto" w:fill="FFFFFF"/>
        <w:spacing w:before="300" w:beforeAutospacing="0"/>
        <w:rPr>
          <w:rFonts w:ascii="Segoe UI" w:hAnsi="Segoe UI" w:cs="Segoe UI"/>
        </w:rPr>
      </w:pPr>
      <w:proofErr w:type="spellStart"/>
      <w:r>
        <w:rPr>
          <w:rFonts w:ascii="Segoe UI" w:hAnsi="Segoe UI" w:cs="Segoe UI"/>
        </w:rPr>
        <w:t>Ст</w:t>
      </w:r>
      <w:proofErr w:type="spellEnd"/>
      <w:r>
        <w:rPr>
          <w:rFonts w:ascii="Segoe UI" w:hAnsi="Segoe UI" w:cs="Segoe UI"/>
        </w:rPr>
        <w:t xml:space="preserve"> 59 ЗУ Про повну загальну середню освіту зі змінами 2025 рік №463-IX від 16.01.2020, редакція від 24.11.2021</w:t>
      </w:r>
    </w:p>
    <w:p w:rsidR="00AD61F9" w:rsidRDefault="00AD61F9" w:rsidP="00AD61F9">
      <w:pPr>
        <w:shd w:val="clear" w:color="auto" w:fill="D4EDDA"/>
        <w:rPr>
          <w:rFonts w:ascii="Segoe UI" w:hAnsi="Segoe UI" w:cs="Segoe UI"/>
          <w:color w:val="155724"/>
        </w:rPr>
      </w:pPr>
      <w:r>
        <w:rPr>
          <w:rFonts w:ascii="Segoe UI" w:hAnsi="Segoe UI" w:cs="Segoe UI"/>
          <w:color w:val="155724"/>
        </w:rPr>
        <w:t>Закон чинний. Актуальність перевірено 10.02.2021</w:t>
      </w:r>
    </w:p>
    <w:p w:rsidR="00AD61F9" w:rsidRDefault="00AD61F9" w:rsidP="00AD61F9">
      <w:pPr>
        <w:pStyle w:val="a3"/>
        <w:shd w:val="clear" w:color="auto" w:fill="D4EDDA"/>
        <w:spacing w:before="0" w:beforeAutospacing="0"/>
        <w:rPr>
          <w:rFonts w:ascii="Segoe UI" w:hAnsi="Segoe UI" w:cs="Segoe UI"/>
          <w:color w:val="155724"/>
        </w:rPr>
      </w:pPr>
      <w:r>
        <w:rPr>
          <w:rFonts w:ascii="Segoe UI" w:hAnsi="Segoe UI" w:cs="Segoe UI"/>
          <w:color w:val="155724"/>
        </w:rPr>
        <w:t>Детальніше: </w:t>
      </w:r>
      <w:hyperlink r:id="rId4" w:history="1">
        <w:r>
          <w:rPr>
            <w:rStyle w:val="a4"/>
            <w:rFonts w:ascii="Segoe UI" w:hAnsi="Segoe UI" w:cs="Segoe UI"/>
            <w:color w:val="007BFF"/>
          </w:rPr>
          <w:t>https://urst.com.ua/pro_povnu_zagalnu_serednyu_osvitu/st-59</w:t>
        </w:r>
      </w:hyperlink>
    </w:p>
    <w:p w:rsidR="00BF05F7" w:rsidRDefault="00BF05F7">
      <w:bookmarkStart w:id="0" w:name="_GoBack"/>
      <w:bookmarkEnd w:id="0"/>
    </w:p>
    <w:sectPr w:rsidR="00BF05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F9"/>
    <w:rsid w:val="00AD61F9"/>
    <w:rsid w:val="00BF05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5E5B21-B198-4DA7-B6F8-4E1B5604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61F9"/>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AD61F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61F9"/>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AD61F9"/>
    <w:pPr>
      <w:spacing w:before="100" w:beforeAutospacing="1" w:after="100" w:afterAutospacing="1"/>
    </w:pPr>
  </w:style>
  <w:style w:type="paragraph" w:customStyle="1" w:styleId="text-secondary">
    <w:name w:val="text-secondary"/>
    <w:basedOn w:val="a"/>
    <w:rsid w:val="00AD61F9"/>
    <w:pPr>
      <w:spacing w:before="100" w:beforeAutospacing="1" w:after="100" w:afterAutospacing="1"/>
    </w:pPr>
  </w:style>
  <w:style w:type="character" w:styleId="a4">
    <w:name w:val="Hyperlink"/>
    <w:basedOn w:val="a0"/>
    <w:uiPriority w:val="99"/>
    <w:semiHidden/>
    <w:unhideWhenUsed/>
    <w:rsid w:val="00AD61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804611">
      <w:bodyDiv w:val="1"/>
      <w:marLeft w:val="0"/>
      <w:marRight w:val="0"/>
      <w:marTop w:val="0"/>
      <w:marBottom w:val="0"/>
      <w:divBdr>
        <w:top w:val="none" w:sz="0" w:space="0" w:color="auto"/>
        <w:left w:val="none" w:sz="0" w:space="0" w:color="auto"/>
        <w:bottom w:val="none" w:sz="0" w:space="0" w:color="auto"/>
        <w:right w:val="none" w:sz="0" w:space="0" w:color="auto"/>
      </w:divBdr>
      <w:divsChild>
        <w:div w:id="393741535">
          <w:marLeft w:val="0"/>
          <w:marRight w:val="0"/>
          <w:marTop w:val="0"/>
          <w:marBottom w:val="0"/>
          <w:divBdr>
            <w:top w:val="single" w:sz="6" w:space="0" w:color="C3E6CB"/>
            <w:left w:val="single" w:sz="6" w:space="0" w:color="C3E6CB"/>
            <w:bottom w:val="single" w:sz="6" w:space="0" w:color="C3E6CB"/>
            <w:right w:val="single" w:sz="6" w:space="0" w:color="C3E6CB"/>
          </w:divBdr>
          <w:divsChild>
            <w:div w:id="15019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st.com.ua/pro_povnu_zagalnu_serednyu_osvitu/st-5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2291</Words>
  <Characters>1306</Characters>
  <Application>Microsoft Office Word</Application>
  <DocSecurity>0</DocSecurity>
  <Lines>10</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2025-05-04T16:25:00Z</dcterms:created>
  <dcterms:modified xsi:type="dcterms:W3CDTF">2025-05-04T16:26:00Z</dcterms:modified>
</cp:coreProperties>
</file>