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464" w:rsidRPr="00C36464" w:rsidRDefault="00C36464" w:rsidP="00C36464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</w:t>
      </w:r>
      <w:r w:rsidRPr="00C36464">
        <w:rPr>
          <w:rFonts w:ascii="Times New Roman" w:hAnsi="Times New Roman" w:cs="Times New Roman"/>
          <w:b/>
        </w:rPr>
        <w:t>ЗАГАЛЬНООСВІТНЯ ШКОЛА І-ІІІ СТУПЕНІВ № 6 ім. ЖИТНИЧЕНКА І.В.</w:t>
      </w:r>
    </w:p>
    <w:p w:rsidR="00C36464" w:rsidRPr="00C36464" w:rsidRDefault="00C36464" w:rsidP="00C36464">
      <w:pPr>
        <w:spacing w:after="0"/>
        <w:jc w:val="center"/>
        <w:rPr>
          <w:rFonts w:ascii="Times New Roman" w:hAnsi="Times New Roman" w:cs="Times New Roman"/>
          <w:b/>
        </w:rPr>
      </w:pPr>
      <w:r w:rsidRPr="00C36464">
        <w:rPr>
          <w:rFonts w:ascii="Times New Roman" w:hAnsi="Times New Roman" w:cs="Times New Roman"/>
          <w:b/>
        </w:rPr>
        <w:t>М. БЕРДИЧЕВА ЖИТОМИРСЬКОЇ ОБЛАСТІ</w:t>
      </w:r>
    </w:p>
    <w:p w:rsidR="00C36464" w:rsidRPr="00C36464" w:rsidRDefault="00C36464" w:rsidP="00C36464">
      <w:pPr>
        <w:spacing w:after="0"/>
        <w:jc w:val="center"/>
        <w:rPr>
          <w:rFonts w:ascii="Times New Roman" w:hAnsi="Times New Roman" w:cs="Times New Roman"/>
        </w:rPr>
      </w:pPr>
      <w:r w:rsidRPr="00C36464">
        <w:rPr>
          <w:rFonts w:ascii="Times New Roman" w:hAnsi="Times New Roman" w:cs="Times New Roman"/>
        </w:rPr>
        <w:t>Інд. к. 22057161</w:t>
      </w:r>
    </w:p>
    <w:p w:rsidR="00C36464" w:rsidRPr="00C36464" w:rsidRDefault="00C36464" w:rsidP="00C36464">
      <w:pPr>
        <w:spacing w:after="0"/>
        <w:jc w:val="center"/>
        <w:rPr>
          <w:rFonts w:ascii="Times New Roman" w:hAnsi="Times New Roman" w:cs="Times New Roman"/>
        </w:rPr>
      </w:pPr>
      <w:r w:rsidRPr="00C36464">
        <w:rPr>
          <w:rFonts w:ascii="Times New Roman" w:hAnsi="Times New Roman" w:cs="Times New Roman"/>
        </w:rPr>
        <w:t>вул. Житомирська, 104/2,  м. Бердичів, Житомирська область, 13300,</w:t>
      </w:r>
    </w:p>
    <w:p w:rsidR="00C36464" w:rsidRPr="00C36464" w:rsidRDefault="00C36464" w:rsidP="00C36464">
      <w:pPr>
        <w:spacing w:after="0"/>
        <w:jc w:val="center"/>
        <w:rPr>
          <w:rFonts w:ascii="Times New Roman" w:hAnsi="Times New Roman" w:cs="Times New Roman"/>
        </w:rPr>
      </w:pPr>
      <w:r w:rsidRPr="00C36464">
        <w:rPr>
          <w:rFonts w:ascii="Times New Roman" w:hAnsi="Times New Roman" w:cs="Times New Roman"/>
        </w:rPr>
        <w:t xml:space="preserve">тел..:  6-34-15, 6-35-58  </w:t>
      </w:r>
      <w:r w:rsidRPr="00C36464">
        <w:rPr>
          <w:rFonts w:ascii="Times New Roman" w:hAnsi="Times New Roman" w:cs="Times New Roman"/>
          <w:lang w:val="en-US"/>
        </w:rPr>
        <w:t>E</w:t>
      </w:r>
      <w:r w:rsidRPr="00C36464">
        <w:rPr>
          <w:rFonts w:ascii="Times New Roman" w:hAnsi="Times New Roman" w:cs="Times New Roman"/>
        </w:rPr>
        <w:t>-</w:t>
      </w:r>
      <w:r w:rsidRPr="00C36464">
        <w:rPr>
          <w:rFonts w:ascii="Times New Roman" w:hAnsi="Times New Roman" w:cs="Times New Roman"/>
          <w:lang w:val="en-US"/>
        </w:rPr>
        <w:t>mail</w:t>
      </w:r>
      <w:r w:rsidRPr="00C36464">
        <w:rPr>
          <w:rFonts w:ascii="Times New Roman" w:hAnsi="Times New Roman" w:cs="Times New Roman"/>
        </w:rPr>
        <w:t xml:space="preserve">: </w:t>
      </w:r>
      <w:hyperlink r:id="rId8" w:history="1">
        <w:r w:rsidRPr="00C36464">
          <w:rPr>
            <w:rStyle w:val="aa"/>
            <w:rFonts w:ascii="Times New Roman" w:hAnsi="Times New Roman" w:cs="Times New Roman"/>
            <w:lang w:val="en-US"/>
          </w:rPr>
          <w:t>school</w:t>
        </w:r>
        <w:r w:rsidRPr="00C36464">
          <w:rPr>
            <w:rStyle w:val="aa"/>
            <w:rFonts w:ascii="Times New Roman" w:hAnsi="Times New Roman" w:cs="Times New Roman"/>
          </w:rPr>
          <w:t>.</w:t>
        </w:r>
        <w:r w:rsidRPr="00C36464">
          <w:rPr>
            <w:rStyle w:val="aa"/>
            <w:rFonts w:ascii="Times New Roman" w:hAnsi="Times New Roman" w:cs="Times New Roman"/>
            <w:lang w:val="en-US"/>
          </w:rPr>
          <w:t>number</w:t>
        </w:r>
        <w:r w:rsidRPr="00C36464">
          <w:rPr>
            <w:rStyle w:val="aa"/>
            <w:rFonts w:ascii="Times New Roman" w:hAnsi="Times New Roman" w:cs="Times New Roman"/>
          </w:rPr>
          <w:t>6@</w:t>
        </w:r>
        <w:r w:rsidRPr="00C36464">
          <w:rPr>
            <w:rStyle w:val="aa"/>
            <w:rFonts w:ascii="Times New Roman" w:hAnsi="Times New Roman" w:cs="Times New Roman"/>
            <w:lang w:val="en-US"/>
          </w:rPr>
          <w:t>Gmail</w:t>
        </w:r>
        <w:r w:rsidRPr="00C36464">
          <w:rPr>
            <w:rStyle w:val="aa"/>
            <w:rFonts w:ascii="Times New Roman" w:hAnsi="Times New Roman" w:cs="Times New Roman"/>
          </w:rPr>
          <w:t>.</w:t>
        </w:r>
        <w:r w:rsidRPr="00C36464">
          <w:rPr>
            <w:rStyle w:val="aa"/>
            <w:rFonts w:ascii="Times New Roman" w:hAnsi="Times New Roman" w:cs="Times New Roman"/>
            <w:lang w:val="en-US"/>
          </w:rPr>
          <w:t>com</w:t>
        </w:r>
      </w:hyperlink>
    </w:p>
    <w:p w:rsidR="00C36464" w:rsidRPr="00C36464" w:rsidRDefault="00C3646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4C54" w:rsidRPr="00C36464" w:rsidRDefault="00550CD8" w:rsidP="00C36464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6464">
        <w:rPr>
          <w:rFonts w:ascii="Times New Roman" w:eastAsia="Times New Roman" w:hAnsi="Times New Roman" w:cs="Times New Roman"/>
          <w:b/>
          <w:sz w:val="28"/>
          <w:szCs w:val="28"/>
        </w:rPr>
        <w:t>Формування безпечного  освітнього простору, психологічного клімату на основі педагогіки партнерства   всіх учасників освітнього процесу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 w:cs="Times New Roman"/>
          <w:i/>
          <w:color w:val="171717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/>
          <w:color w:val="171717"/>
          <w:sz w:val="28"/>
          <w:szCs w:val="28"/>
          <w:highlight w:val="white"/>
        </w:rPr>
        <w:t>План</w:t>
      </w:r>
    </w:p>
    <w:p w:rsidR="00034C54" w:rsidRDefault="00550C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Доповідь «</w:t>
      </w:r>
      <w:r>
        <w:rPr>
          <w:rFonts w:ascii="Times New Roman" w:eastAsia="Times New Roman" w:hAnsi="Times New Roman" w:cs="Times New Roman"/>
          <w:sz w:val="28"/>
          <w:szCs w:val="28"/>
        </w:rPr>
        <w:t>Формування безпечного  освітнього простору, психологічного клімату на основі педагогіки співробітництва всіх учасників освітнього процесу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2832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Заступник директора з НВР Данилюк Т.М.</w:t>
      </w:r>
    </w:p>
    <w:p w:rsidR="00034C54" w:rsidRDefault="00550C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Емоційний інтелект – як передумова розвитку успішної особистості – </w:t>
      </w:r>
    </w:p>
    <w:p w:rsidR="00034C54" w:rsidRDefault="00550CD8">
      <w:pPr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педагог-організатор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Ковтонюк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В.С.</w:t>
      </w:r>
    </w:p>
    <w:p w:rsidR="00034C54" w:rsidRDefault="00034C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2832"/>
        <w:rPr>
          <w:rFonts w:ascii="Times New Roman" w:eastAsia="Times New Roman" w:hAnsi="Times New Roman" w:cs="Times New Roman"/>
          <w:color w:val="444444"/>
          <w:sz w:val="28"/>
          <w:szCs w:val="28"/>
        </w:rPr>
      </w:pP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Сучасні методики профілактичної роботи з подолання  негативних проявів серед дітей, методики раннього виявлення дітей, які належать до групи ризику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Соціальний педагог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Пухальська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Т.В.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Вирішення конфліктів мирним шляхом. Базові навички медіації 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                               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Волинець О.В.</w:t>
      </w:r>
    </w:p>
    <w:p w:rsidR="00034C54" w:rsidRDefault="00C3646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5</w:t>
      </w:r>
      <w:bookmarkStart w:id="0" w:name="_GoBack"/>
      <w:bookmarkEnd w:id="0"/>
      <w:r w:rsidR="00550C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  Підведення підсумків. Ознайомлення з проектом </w:t>
      </w:r>
      <w:r w:rsidR="00550CD8">
        <w:rPr>
          <w:rFonts w:ascii="Times New Roman" w:eastAsia="Times New Roman" w:hAnsi="Times New Roman" w:cs="Times New Roman"/>
          <w:color w:val="000000"/>
          <w:sz w:val="28"/>
          <w:szCs w:val="28"/>
        </w:rPr>
        <w:t>рішення педради.</w:t>
      </w:r>
    </w:p>
    <w:p w:rsidR="00034C54" w:rsidRDefault="00034C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4C54" w:rsidRDefault="00034C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4C54" w:rsidRDefault="00034C5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34C54" w:rsidRPr="00C36464" w:rsidRDefault="00034C54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34C54" w:rsidRDefault="00550CD8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</w:t>
      </w:r>
      <w:r w:rsidR="00C3646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Тільки охоплений жадобою знань                                                                    педагогічний колектив може забезпечити найголовніше.. </w:t>
      </w:r>
    </w:p>
    <w:p w:rsidR="00034C54" w:rsidRDefault="00550CD8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стати вогнищем виховання і освіти.</w:t>
      </w:r>
    </w:p>
    <w:p w:rsidR="00034C54" w:rsidRDefault="00550CD8">
      <w:pPr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В. Сухомлинський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Концепція Нової української школи  передбачає перезавантаження української шкільної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освіти.Перезавантаження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тобто оновлення існуючого алгоритму професійної профілактичної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розвиткової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діяльності,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ередбачає: перегляд методології роботи з добувачами освіти, батьками, вчителями; зміну акцентів та пріоритетів з процесу на результат з використанням ефективних методів практичної психології та соціальної роботи. Одним із важливих пріоритетів освітнього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оцесу в школі  є створення соціально безпечного простору шляхом формування в учнів вміння правильно поводитись у небезпечних та критичних ситуаціях загрози життю, честі та гідності особистості,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мобінгу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надавати допомогу собі та іншим.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Новий Зак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 України про освіту та новий Державний стандарт початкової освіти, базової і повної загальної середньої освіти орієнтує педагогів на персональну відповідальність за якість надання освітніх послуг та перехід від декларування переваг особистісної моделі до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її практичного впровадження. Визначено вимоги до якості знань здобувачів освіти, які відповідають змісту і структурі предметних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компетентностей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(знає, розуміє, застосовує, аналізує, виявляє ставлення, оцінює тощо). Разом із предметною підготовкою за роки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здобуття загальної середньої освіти діти мають оволодіти ключовими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компетентностями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до яких, згідно з міжнародними домовленостями, віднесено: уміння вчитися, спілкуватися державною, рідною та іноземними мовами; математична і базова компетентності в галузі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природознавства і техніки; інформаційно-комунікаційна; соціальна і громадянська; загальнокультурна; підприємницька;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здоров’язберігаюча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Державний стандарт ґрунтується на засадах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орієнтованого,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компетентнісного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діяльнісного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підходів. 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Ос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новна мета діяльності закладу школи – це безперервний процес підвищення ефективності освітнього процесу з одночасним урахуванням потреб суспільства, а також потреб особистості здобувача освіти. Цьому сприяє застосування новітніх досягнень педагогіки та пси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хології, використання інноваційних технологій навчання, комп’ютеризація освітнього процесу.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     Розвиток та практичне застосування комунікативних та інформаційно-комунікаційних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компетенцій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здобувачів освіти в умовах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особистісно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зорієнтованого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діяльнісно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підходів є ключовими положеннями Стратегії розвитку закладу.</w:t>
      </w:r>
    </w:p>
    <w:p w:rsidR="00034C54" w:rsidRDefault="00034C5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Book Antiqua" w:eastAsia="Book Antiqua" w:hAnsi="Book Antiqua" w:cs="Book Antiqua"/>
          <w:smallCap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У РОЗДІЛІ І </w:t>
      </w:r>
      <w:r>
        <w:rPr>
          <w:rFonts w:ascii="Book Antiqua" w:eastAsia="Book Antiqua" w:hAnsi="Book Antiqua" w:cs="Book Antiqua"/>
          <w:smallCaps/>
          <w:color w:val="000000"/>
          <w:sz w:val="24"/>
          <w:szCs w:val="24"/>
        </w:rPr>
        <w:t xml:space="preserve">СТРАТЕГІЇ  РОЗВИТКУ ТА ПРОЦЕДУРИ   ЗАБЕЗПЕЧЕННЯ ЯКОСТІ ОСВІТИ ЗАГАЛЬНООСВІТНЬОЇ ШКОЛИ І – ІІІ СТУПЕНІВ № 6 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Book Antiqua" w:eastAsia="Book Antiqua" w:hAnsi="Book Antiqua" w:cs="Book Antiqua"/>
          <w:smallCaps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smallCaps/>
          <w:color w:val="000000"/>
          <w:sz w:val="24"/>
          <w:szCs w:val="24"/>
        </w:rPr>
        <w:t xml:space="preserve">ІМ. ЖИТНИЧЕНКА І. В. М. БЕРДИЧЕВА ЖИТОМИРСЬКОЇ ОБЛАСТІ ВИЗНАЧЕНА 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000000"/>
          <w:sz w:val="24"/>
          <w:szCs w:val="24"/>
        </w:rPr>
        <w:t xml:space="preserve">місія, </w:t>
      </w:r>
      <w:proofErr w:type="spellStart"/>
      <w:r>
        <w:rPr>
          <w:rFonts w:ascii="Book Antiqua" w:eastAsia="Book Antiqua" w:hAnsi="Book Antiqua" w:cs="Book Antiqua"/>
          <w:color w:val="000000"/>
          <w:sz w:val="24"/>
          <w:szCs w:val="24"/>
        </w:rPr>
        <w:t>візія</w:t>
      </w:r>
      <w:proofErr w:type="spellEnd"/>
      <w:r>
        <w:rPr>
          <w:rFonts w:ascii="Book Antiqua" w:eastAsia="Book Antiqua" w:hAnsi="Book Antiqua" w:cs="Book Antiqua"/>
          <w:color w:val="000000"/>
          <w:sz w:val="24"/>
          <w:szCs w:val="24"/>
        </w:rPr>
        <w:t>, цінності, принципи діяльності закладу освіти.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rPr>
          <w:rFonts w:ascii="Book Antiqua" w:eastAsia="Book Antiqua" w:hAnsi="Book Antiqua" w:cs="Book Antiqua"/>
          <w:color w:val="000000"/>
          <w:sz w:val="24"/>
          <w:szCs w:val="24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 Забезпечення комфортних і безпечних умов навчання та праці.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Book Antiqua" w:eastAsia="Book Antiqua" w:hAnsi="Book Antiqua" w:cs="Book Antiqua"/>
          <w:color w:val="000000"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color w:val="000000"/>
          <w:sz w:val="28"/>
          <w:szCs w:val="28"/>
        </w:rPr>
        <w:t>Візія</w:t>
      </w:r>
      <w:proofErr w:type="spellEnd"/>
      <w:r>
        <w:rPr>
          <w:rFonts w:ascii="Book Antiqua" w:eastAsia="Book Antiqua" w:hAnsi="Book Antiqua" w:cs="Book Antiqua"/>
          <w:color w:val="000000"/>
          <w:sz w:val="28"/>
          <w:szCs w:val="28"/>
        </w:rPr>
        <w:t xml:space="preserve"> школи. Школа якості, комфорту та креативу.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Цінності закладу освіти: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рівність всіх учасників освітнього процесу,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патріотизм, 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колективізм, 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партнерство, 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дружба, 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повага, 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духовність і культура, 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відповідальність, 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чесність, 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взаємодопомога, </w:t>
      </w:r>
    </w:p>
    <w:p w:rsidR="00034C54" w:rsidRDefault="00550C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довіра.</w:t>
      </w:r>
    </w:p>
    <w:p w:rsidR="00034C54" w:rsidRDefault="00034C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Book Antiqua" w:eastAsia="Book Antiqua" w:hAnsi="Book Antiqua" w:cs="Book Antiqua"/>
          <w:i/>
          <w:color w:val="2C2B2B"/>
          <w:sz w:val="28"/>
          <w:szCs w:val="28"/>
        </w:rPr>
      </w:pP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Book Antiqua" w:eastAsia="Book Antiqua" w:hAnsi="Book Antiqua" w:cs="Book Antiqua"/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b/>
          <w:color w:val="000000"/>
          <w:sz w:val="28"/>
          <w:szCs w:val="28"/>
        </w:rPr>
        <w:t>Принципи діяльності школи</w:t>
      </w:r>
      <w:r>
        <w:rPr>
          <w:rFonts w:ascii="Book Antiqua" w:eastAsia="Book Antiqua" w:hAnsi="Book Antiqua" w:cs="Book Antiqua"/>
          <w:color w:val="7030A0"/>
          <w:sz w:val="28"/>
          <w:szCs w:val="28"/>
        </w:rPr>
        <w:t xml:space="preserve"> 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(</w:t>
      </w:r>
      <w:r>
        <w:rPr>
          <w:rFonts w:ascii="Book Antiqua" w:eastAsia="Book Antiqua" w:hAnsi="Book Antiqua" w:cs="Book Antiqua"/>
          <w:i/>
          <w:color w:val="2C2B2B"/>
          <w:sz w:val="28"/>
          <w:szCs w:val="28"/>
        </w:rPr>
        <w:t>відповідно до Закону Про освіту, ст.6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):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proofErr w:type="spellStart"/>
      <w:r>
        <w:rPr>
          <w:rFonts w:ascii="Book Antiqua" w:eastAsia="Book Antiqua" w:hAnsi="Book Antiqua" w:cs="Book Antiqua"/>
          <w:color w:val="2C2B2B"/>
          <w:sz w:val="28"/>
          <w:szCs w:val="28"/>
        </w:rPr>
        <w:t>людиноцентризм</w:t>
      </w:r>
      <w:proofErr w:type="spellEnd"/>
      <w:r>
        <w:rPr>
          <w:rFonts w:ascii="Book Antiqua" w:eastAsia="Book Antiqua" w:hAnsi="Book Antiqua" w:cs="Book Antiqua"/>
          <w:color w:val="2C2B2B"/>
          <w:sz w:val="28"/>
          <w:szCs w:val="28"/>
        </w:rPr>
        <w:t>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верховенство права;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забезпечення якості освіти та якості освітньої діяльності;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lastRenderedPageBreak/>
        <w:t>забезпечення рівного доступу до освіти без дискримінації за будь-якими ознаками, у тому числі за ознакою інвалідності;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розвиток інклюзивного освітнього середовища, у тому числі у закладах освіти, н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айбільш доступних і наближених до місця проживання осіб з особливими освітніми потребами;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забезпечення універсального дизайну та розумного пристосування;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науковий характер освіти;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різноманітність освіти;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цілісність і наступність системи освіти;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прозорість 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і публічність прийняття та виконання управлінських рішень;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відповідальність і підзвітність органів управління школою, інших суб’єктів освітньої діяльності перед суспільством;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інституційне відокремлення функцій контролю (нагляду) та функцій забезпечення дія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льності закладів освіти;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інтеграція з ринком праці;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нерозривний зв’язок із світовою та національною історією, культурою, національними традиціями;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свобода у виборі видів, форм і темпу здобуття освіти, освітньої програми;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академічна доброчесність;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академічна свобода;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фінансова, академічна, кадрова та організаційна автономія школи у межах, визначених законом;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гуманізм;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демократизм;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lastRenderedPageBreak/>
        <w:t>єдність навчання, виховання та розвитку;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виховання патріотизму, поваги до культурних цінностей Українського народу, його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 історико-культурного надбання і традицій;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формування усвідомленої потреби в дотриманні Конституції та законів України, нетерпимості до їх порушення;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формування поваги до прав і свобод людини, нетерпимості до приниження її честі та гідності, фізичного або 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психологічного насильства, а також до дискримінації за будь-якими ознаками;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формування громадянської культури та культури демократії;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формування культури здорового способу життя, екологічної культури і дбайливого ставлення до довкілля;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невтручання політичн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их партій в освітній процес;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невтручання релігійних організацій в освітній процес (крім випадків, визначених Законом України про освіту);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різнобічність та збалансованість інформації щодо політичних, світоглядних та релігійних питань;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державно-громадське уп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равління;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державно-громадське партнерство;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державно-приватне партнерство;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сприяння навчанню впродовж життя;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інтеграція у міжнародний освітній та науковий простір;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нетерпимість до проявів корупції та хабарництва;</w:t>
      </w:r>
    </w:p>
    <w:p w:rsidR="00034C54" w:rsidRDefault="00550CD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доступність для кожного громадянина всіх форм і типів освітніх послуг, що надаються державою.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Головною метою школи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відповідно розділу ІІ стратегії розвитку  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Статуту школи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є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Book Antiqua" w:eastAsia="Book Antiqua" w:hAnsi="Book Antiqua" w:cs="Book Antiqua"/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lastRenderedPageBreak/>
        <w:t>забезпечення реалізації права громадян на здобуття повної загальної середньої освіти.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567" w:hanging="567"/>
        <w:jc w:val="both"/>
        <w:rPr>
          <w:rFonts w:ascii="Book Antiqua" w:eastAsia="Book Antiqua" w:hAnsi="Book Antiqua" w:cs="Book Antiqua"/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У своїй діяльності школа переслідує такі </w:t>
      </w:r>
      <w:r>
        <w:rPr>
          <w:rFonts w:ascii="Book Antiqua" w:eastAsia="Book Antiqua" w:hAnsi="Book Antiqua" w:cs="Book Antiqua"/>
          <w:b/>
          <w:color w:val="7030A0"/>
          <w:sz w:val="28"/>
          <w:szCs w:val="28"/>
        </w:rPr>
        <w:t>завдання:</w:t>
      </w:r>
    </w:p>
    <w:p w:rsidR="00034C54" w:rsidRDefault="0055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забезпечення реалізації права громадян на повну загальну середню освіту; </w:t>
      </w:r>
    </w:p>
    <w:p w:rsidR="00034C54" w:rsidRDefault="0055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виховання громадянина України;</w:t>
      </w:r>
    </w:p>
    <w:p w:rsidR="00034C54" w:rsidRDefault="0055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виховання шанобливого ставлення до родини, поваги до народних традицій і звичаїв, державної та рідної мови, національних цінностей українського народу та інших народів і націй;</w:t>
      </w:r>
    </w:p>
    <w:p w:rsidR="00034C54" w:rsidRDefault="0055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формування і розвиток соціально зрілої, творчої особистості з усвідомленою гром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адянською позицією, почуттям національної самосвідомості, особистості, підготовленої до професійного самовизначення; </w:t>
      </w:r>
    </w:p>
    <w:p w:rsidR="00034C54" w:rsidRDefault="0055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виховання в учнів поваги до Конституції України, державних символів України, прав і свобод людини і громадянина, почуття власної гідності,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 відповідальності перед законом за свої дії, свідомого ставлення до обов’язків людини і громадянина;</w:t>
      </w:r>
    </w:p>
    <w:p w:rsidR="00034C54" w:rsidRDefault="0055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розвиток особистості учня, його здібностей і обдарувань, наукового світогляду;</w:t>
      </w:r>
    </w:p>
    <w:p w:rsidR="00034C54" w:rsidRDefault="0055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реалізація права учнів на вільне формування політичних і світоглядних переконань;</w:t>
      </w:r>
    </w:p>
    <w:p w:rsidR="00034C54" w:rsidRDefault="0055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виховання свідомого ставлення до свого здоров’я та здоров’я інших громадян як найвищої соціальної цінності, формування засад здорового способу життя, збереження і зміцнення ф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ізичного та психічного здоров’я учнів;</w:t>
      </w:r>
    </w:p>
    <w:p w:rsidR="00034C54" w:rsidRDefault="00550C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709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lastRenderedPageBreak/>
        <w:t>створення умов для оволодіння системою наукових знань про природу, людину і суспільство.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360" w:lineRule="auto"/>
        <w:jc w:val="both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Пріоритетні напрямки розвитку школи:</w:t>
      </w:r>
    </w:p>
    <w:p w:rsidR="00034C54" w:rsidRDefault="00550C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0" w:line="360" w:lineRule="auto"/>
        <w:jc w:val="both"/>
        <w:rPr>
          <w:rFonts w:ascii="Book Antiqua" w:eastAsia="Book Antiqua" w:hAnsi="Book Antiqua" w:cs="Book Antiqua"/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Освітнє середовище освітнього закладу.</w:t>
      </w:r>
    </w:p>
    <w:p w:rsidR="00034C54" w:rsidRDefault="00550C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Book Antiqua" w:eastAsia="Book Antiqua" w:hAnsi="Book Antiqua" w:cs="Book Antiqua"/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Система оцінювання освітньої діяльності здобувачів освіти.</w:t>
      </w:r>
    </w:p>
    <w:p w:rsidR="00034C54" w:rsidRDefault="00550C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Book Antiqua" w:eastAsia="Book Antiqua" w:hAnsi="Book Antiqua" w:cs="Book Antiqua"/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Система педагогічної діяльності.</w:t>
      </w:r>
    </w:p>
    <w:p w:rsidR="00034C54" w:rsidRDefault="00550CD8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280" w:line="360" w:lineRule="auto"/>
        <w:jc w:val="both"/>
        <w:rPr>
          <w:rFonts w:ascii="Book Antiqua" w:eastAsia="Book Antiqua" w:hAnsi="Book Antiqua" w:cs="Book Antiqua"/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Система управлінської діяльності.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Book Antiqua" w:eastAsia="Book Antiqua" w:hAnsi="Book Antiqua" w:cs="Book Antiqua"/>
          <w:color w:val="000000"/>
          <w:sz w:val="28"/>
          <w:szCs w:val="28"/>
        </w:rPr>
      </w:pPr>
      <w:r>
        <w:rPr>
          <w:rFonts w:ascii="Book Antiqua" w:eastAsia="Book Antiqua" w:hAnsi="Book Antiqua" w:cs="Book Antiqua"/>
          <w:color w:val="000000"/>
          <w:sz w:val="28"/>
          <w:szCs w:val="28"/>
        </w:rPr>
        <w:t>Стратегічні цілі закладу освіти: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Забезпечення комфортних і безпечних умов навчання та праці.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Створення освітнього середовища, вільного від </w:t>
      </w:r>
      <w:proofErr w:type="spellStart"/>
      <w:r>
        <w:rPr>
          <w:rFonts w:ascii="Book Antiqua" w:eastAsia="Book Antiqua" w:hAnsi="Book Antiqua" w:cs="Book Antiqua"/>
          <w:color w:val="2C2B2B"/>
          <w:sz w:val="28"/>
          <w:szCs w:val="28"/>
        </w:rPr>
        <w:t>будь-</w:t>
      </w:r>
      <w:proofErr w:type="spellEnd"/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 яких форм насильства та дискримінації.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Формування інклюзивного, розвивального та мотивуючого до навчання освітнього простору.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Наявність відкритої, прозорої і зрозумілої для здобувачів освіти системи оціню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вання їх навчальних досягнень.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Застосування внутрішнього моніторингу, що передбачає систематичне відстеження та коригування результатів навчання кожного здобувача освіти.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Спрямованість системи оцінювання на формування у здобувачів освіти відповідальності за результати навчання, здатності до </w:t>
      </w:r>
      <w:proofErr w:type="spellStart"/>
      <w:r>
        <w:rPr>
          <w:rFonts w:ascii="Book Antiqua" w:eastAsia="Book Antiqua" w:hAnsi="Book Antiqua" w:cs="Book Antiqua"/>
          <w:color w:val="2C2B2B"/>
          <w:sz w:val="28"/>
          <w:szCs w:val="28"/>
        </w:rPr>
        <w:t>самооцінювання</w:t>
      </w:r>
      <w:proofErr w:type="spellEnd"/>
      <w:r>
        <w:rPr>
          <w:rFonts w:ascii="Book Antiqua" w:eastAsia="Book Antiqua" w:hAnsi="Book Antiqua" w:cs="Book Antiqua"/>
          <w:color w:val="2C2B2B"/>
          <w:sz w:val="28"/>
          <w:szCs w:val="28"/>
        </w:rPr>
        <w:t>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Ефективність планування педагогічними працівниками своєї діяльності, використання сучасних освітніх підходів до організ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ації освітнього процесу з метою формування ключових </w:t>
      </w:r>
      <w:proofErr w:type="spellStart"/>
      <w:r>
        <w:rPr>
          <w:rFonts w:ascii="Book Antiqua" w:eastAsia="Book Antiqua" w:hAnsi="Book Antiqua" w:cs="Book Antiqua"/>
          <w:color w:val="2C2B2B"/>
          <w:sz w:val="28"/>
          <w:szCs w:val="28"/>
        </w:rPr>
        <w:t>компетентностей</w:t>
      </w:r>
      <w:proofErr w:type="spellEnd"/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 здобувачів освіти.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lastRenderedPageBreak/>
        <w:t>Постійне підвищення професійного рівня і педагогічної майстерності педагогічних працівників.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Налагодження співпраці зі здобувачами освіти, їх батьками, працівниками закл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аду.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Організація педагогічної діяльності та навчання здобувачів освіти на засадах академічної доброчесності.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Наявність стратегії розвитку та системи планування діяльності закладу, моніторинг виконання поставлених цілей і завдань.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Формування відносин довіри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, прозорості, дотримання етичних норм.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Ефективність кадрової політики та забезпечення можливостей для професійного розвитку педагогічних працівників.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 xml:space="preserve">Організація освітнього процесу на засадах </w:t>
      </w:r>
      <w:proofErr w:type="spellStart"/>
      <w:r>
        <w:rPr>
          <w:rFonts w:ascii="Book Antiqua" w:eastAsia="Book Antiqua" w:hAnsi="Book Antiqua" w:cs="Book Antiqua"/>
          <w:color w:val="2C2B2B"/>
          <w:sz w:val="28"/>
          <w:szCs w:val="28"/>
        </w:rPr>
        <w:t>людиноцентризму</w:t>
      </w:r>
      <w:proofErr w:type="spellEnd"/>
      <w:r>
        <w:rPr>
          <w:rFonts w:ascii="Book Antiqua" w:eastAsia="Book Antiqua" w:hAnsi="Book Antiqua" w:cs="Book Antiqua"/>
          <w:color w:val="2C2B2B"/>
          <w:sz w:val="28"/>
          <w:szCs w:val="28"/>
        </w:rPr>
        <w:t>, прийняття управлінських рішень на основі констр</w:t>
      </w:r>
      <w:r>
        <w:rPr>
          <w:rFonts w:ascii="Book Antiqua" w:eastAsia="Book Antiqua" w:hAnsi="Book Antiqua" w:cs="Book Antiqua"/>
          <w:color w:val="2C2B2B"/>
          <w:sz w:val="28"/>
          <w:szCs w:val="28"/>
        </w:rPr>
        <w:t>уктивної співпраці учасників освітнього процесу, взаємодії закладу освіти з місцевою громадою.</w:t>
      </w:r>
    </w:p>
    <w:p w:rsidR="00034C54" w:rsidRDefault="00550CD8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C2B2B"/>
          <w:sz w:val="28"/>
          <w:szCs w:val="28"/>
        </w:rPr>
      </w:pPr>
      <w:r>
        <w:rPr>
          <w:rFonts w:ascii="Book Antiqua" w:eastAsia="Book Antiqua" w:hAnsi="Book Antiqua" w:cs="Book Antiqua"/>
          <w:color w:val="2C2B2B"/>
          <w:sz w:val="28"/>
          <w:szCs w:val="28"/>
        </w:rPr>
        <w:t>Формування та забезпечення реалізації політики академічної доброчесності.</w:t>
      </w:r>
    </w:p>
    <w:p w:rsidR="00034C54" w:rsidRDefault="00034C5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center"/>
        <w:rPr>
          <w:rFonts w:ascii="Book Antiqua" w:eastAsia="Book Antiqua" w:hAnsi="Book Antiqua" w:cs="Book Antiqua"/>
          <w:b/>
          <w:color w:val="FF0000"/>
          <w:sz w:val="28"/>
          <w:szCs w:val="28"/>
        </w:rPr>
      </w:pP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Сучасний світ – світ інформаційних технологій, доступ до скарбниць науки нам дарують засоби масових комунікацій: доступ до бібліотечних матеріалів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wikipedia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; користування різноманітними навчальними програмами; електронними підручниками в Інтернеті; участь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оффлайнових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онлайнових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семінарах,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вебінарах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конкурсах, конференціях, міжрегіональних та міжнародних проектах; дистанційне навчання; створення власних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блогів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; віртуальні екскурсії; можливість інтерактивного спілкування з мешканцями будь-якого куточка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планети; ефективна обробка та збереження інформації тощо. Однією з першочергових завдань закладу освіти є підготовка здобувачів освіти до життя та діяльності в умовах інформаційного суспільства, формування у них навички самостійного пошуку, оцінювання 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истематизації інформації, культури спілкування та безпечного користування Інтернетом.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   В основу Стратегії розвитку закладу покладено системний підхід, спрямований на розв’язання проблеми створення, розвитку та використання інформаційних та комунікаційн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их технологій у освітньому закладі.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Інформатизація управлінської діяльності спрямована на автоматизацію роботи, створення єдиного інформаційного освітнього простору закладу, оперативне одержання необхідної інформації, ефективне використання комп’ютерної те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хніки, що має на меті досягнення ефективного управління якістю педагогічного процесу.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Разом з тим успішній діяльності сучасного закладу освіти сприяє інформатизація самого освітнього процесу та управління закладом.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Створення єдиного інформаційного освітньо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 простору ґрунтується на таких принципах: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· інформаційна й аналітична відкритість, доступність;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· прогнозування;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· гнучкість управління;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· оптимальність функціонування закладу в системі освіти;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· відокремленість функцій управління.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Стратегія розвитку зак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ладу повністю підпорядкована освітній меті - виявленню і розвитку здібностей кожної дитини, формуванню духовно багатої, фізично розвиненої, творчо мислячої, конкурентоспроможної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особистості-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громадянина України.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Ми повинні зробити все для того, щоб випускн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ики школи були максимально здоровими - фізично і психологічно, підготовленим до життя. А для цього - будувати освітній процес на принципах гуманізації та демократизації , на основі тісної взаємодії в системі «здобувачі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осіти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педагоги – батьки здобувачів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освіти».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Провідна ідея закладу – створення умов для якісного надання освітніх послуг шляхом тісної взаємодії в системі «здобувачі освіти-батьки здобувачів освіти - педагоги», створити сприятливе освітнє середовище на основі демократизації, гуманізації, спі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впраці, співтворчості, спрямоване на зміцнення здоров'я дітей, створення умов для фізичного розвитку, соціальної адаптації, духовного зростання; орієнтувати внутрішній світ дитини на збагачення індивідуального досвіду, самопізнання, самооцінки, саморозвитк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у, самовизначенні, самореалізації.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Проблеми, які ставить перед собою колектив :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>1. Фізичний та духовний розвиток здобувача освіти.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2. Створення умов для надання якісних освітніх послуг шляхом тісної взаємодії в системі «здобувачі освіти-батьки здобувачів 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світи - педагоги».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3. Створення сприятливого освітнього середовища, у якому будуть забезпечені умови для творчості та самореалізації учасників освітнього процесу.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Знаходячись на шляху дії програми «Нова українська школа» головним девізом своїм вважаємо вис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ловлювання: «Змінюймось!».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Насамперед потрібно прагнути створити середовище, де формується нова українська школа в якій нова людина, як творча особистість, фізично і духовно досконала. Із перших кроків реформи слід зрозуміти, що в маленькому колективі має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бути своя неповторна аура, і найголовніше – повага до учасників освітнього процесу, які прагнуть до надання-отримання якісних знань. Загальна мета роботи школи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–реалізація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Державних стандартів у галузі освіти, створення умов для підвищення рівня розвитку к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ожної дитини, її самореалізації; здійснення ефективної підготовки випускників до майбутнього життя. Кожен здобувач освіти під час освітнього процесу повинен отримати знання, які знадобляться йому в самостійному дорослому житті.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Здійснення цієї мети можливо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лише за умови запровадження технологій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здоров’язберігаючої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педагогіки.Здоров’я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дітей–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одне з основних джерел щастя, радості і повноцінного життя батьків, учителів, суспільства в цілому.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Вважаємо, що людина вчительської професії не може бути пересічною, ад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же її наслідують, на неї часто рівняються інші. Важкий шлях цієї людини, але благородний, адже вона – вчитель. Рівень авторитету вчителя в першу чергу визначає його професіоналізм. Учительська майстерність, педагогічна культура нагромаджуються впродовж всь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ого життя. Ми створюємо: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- Сприятливі умови для надання освітніх послуг (відсутність стресових ситуацій, адекватність вимог, використання різних методик навчання);</w:t>
      </w:r>
    </w:p>
    <w:p w:rsidR="00034C54" w:rsidRDefault="00550C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color w:val="212121"/>
          <w:sz w:val="28"/>
          <w:szCs w:val="28"/>
        </w:rPr>
        <w:t>- Оптимальну організацію освітнього процесу 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color w:val="141414"/>
          <w:sz w:val="28"/>
          <w:szCs w:val="28"/>
        </w:rPr>
        <w:t>Наша школа працює  на засадах педагогіки парт</w:t>
      </w:r>
      <w:r>
        <w:rPr>
          <w:color w:val="141414"/>
          <w:sz w:val="28"/>
          <w:szCs w:val="28"/>
        </w:rPr>
        <w:t xml:space="preserve">нерства, в основі якої – спілкування, взаємодія та співпраця між учителем, здобувачем освіти та батьками.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Учні, батьки та вчителі, об’єднані спільними цілями та прагненнями, є добровільними та зацікавленими однодумцями, рівноправними учасниками освітнього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процесу, відповідальними за результат.</w:t>
      </w:r>
    </w:p>
    <w:p w:rsidR="00034C54" w:rsidRDefault="00550CD8">
      <w:pPr>
        <w:pBdr>
          <w:top w:val="nil"/>
          <w:left w:val="nil"/>
          <w:bottom w:val="nil"/>
          <w:right w:val="nil"/>
          <w:between w:val="nil"/>
        </w:pBdr>
        <w:spacing w:after="0"/>
        <w:ind w:left="900"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</w:rPr>
        <w:t>Основні принципи цього підходу:</w:t>
      </w:r>
    </w:p>
    <w:p w:rsidR="00034C54" w:rsidRDefault="00550CD8">
      <w:pPr>
        <w:numPr>
          <w:ilvl w:val="0"/>
          <w:numId w:val="6"/>
        </w:numPr>
        <w:spacing w:after="600" w:line="240" w:lineRule="auto"/>
        <w:ind w:left="0"/>
        <w:jc w:val="both"/>
        <w:rPr>
          <w:color w:val="010101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повага до особистості</w:t>
      </w:r>
    </w:p>
    <w:p w:rsidR="00034C54" w:rsidRDefault="00550CD8">
      <w:pPr>
        <w:numPr>
          <w:ilvl w:val="0"/>
          <w:numId w:val="6"/>
        </w:numPr>
        <w:spacing w:after="600" w:line="240" w:lineRule="auto"/>
        <w:ind w:left="0"/>
        <w:jc w:val="both"/>
        <w:rPr>
          <w:color w:val="010101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доброзичливість і позитивне ставлення;</w:t>
      </w:r>
    </w:p>
    <w:p w:rsidR="00034C54" w:rsidRDefault="00550CD8">
      <w:pPr>
        <w:numPr>
          <w:ilvl w:val="0"/>
          <w:numId w:val="6"/>
        </w:numPr>
        <w:spacing w:after="600" w:line="240" w:lineRule="auto"/>
        <w:ind w:left="0"/>
        <w:jc w:val="both"/>
        <w:rPr>
          <w:color w:val="010101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довіра у відносинах;</w:t>
      </w:r>
    </w:p>
    <w:p w:rsidR="00034C54" w:rsidRDefault="00550CD8">
      <w:pPr>
        <w:numPr>
          <w:ilvl w:val="0"/>
          <w:numId w:val="6"/>
        </w:numPr>
        <w:spacing w:after="600" w:line="240" w:lineRule="auto"/>
        <w:ind w:left="0"/>
        <w:jc w:val="both"/>
        <w:rPr>
          <w:color w:val="010101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діалог – взаємодія – взаємоповага;</w:t>
      </w:r>
    </w:p>
    <w:p w:rsidR="00034C54" w:rsidRDefault="00550CD8">
      <w:pPr>
        <w:numPr>
          <w:ilvl w:val="0"/>
          <w:numId w:val="6"/>
        </w:numPr>
        <w:spacing w:after="600" w:line="240" w:lineRule="auto"/>
        <w:ind w:left="0"/>
        <w:jc w:val="both"/>
        <w:rPr>
          <w:color w:val="010101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розподілене лідерство (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проактивність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, право вибору та відповідальність за нього, горизонтальність зв’язків);</w:t>
      </w:r>
    </w:p>
    <w:p w:rsidR="00034C54" w:rsidRDefault="00550CD8">
      <w:pPr>
        <w:numPr>
          <w:ilvl w:val="0"/>
          <w:numId w:val="6"/>
        </w:numPr>
        <w:spacing w:after="0" w:line="240" w:lineRule="auto"/>
        <w:ind w:left="0" w:right="900"/>
        <w:jc w:val="both"/>
        <w:rPr>
          <w:color w:val="141414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принципи соціального партнерства (рівність сторін, добровільність прийняття зобов’язань, обов’язковість виконання домовленостей).</w:t>
      </w:r>
    </w:p>
    <w:p w:rsidR="00034C54" w:rsidRDefault="00550CD8">
      <w:pPr>
        <w:spacing w:after="0" w:line="240" w:lineRule="auto"/>
        <w:ind w:right="900"/>
        <w:jc w:val="both"/>
        <w:rPr>
          <w:rFonts w:ascii="Times New Roman" w:eastAsia="Times New Roman" w:hAnsi="Times New Roman" w:cs="Times New Roman"/>
          <w:color w:val="141414"/>
          <w:sz w:val="28"/>
          <w:szCs w:val="28"/>
        </w:rPr>
      </w:pP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Це – критерій, за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яким можна оцінювати якість освітнього процесу, а також новий інструментарій навчання </w:t>
      </w:r>
      <w:proofErr w:type="spellStart"/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менеджменту.Настанова</w:t>
      </w:r>
      <w:proofErr w:type="spellEnd"/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 xml:space="preserve"> на партнерство у школі міцно закорінена в національній педагогічній традиції. За системою </w:t>
      </w:r>
      <w:hyperlink r:id="rId9">
        <w:r>
          <w:rPr>
            <w:rFonts w:ascii="Times New Roman" w:eastAsia="Times New Roman" w:hAnsi="Times New Roman" w:cs="Times New Roman"/>
            <w:b/>
            <w:sz w:val="28"/>
            <w:szCs w:val="28"/>
          </w:rPr>
          <w:t>Василя Сухомлинського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, виховання особистості має здійснюватися через тріаду “школа – сім’я </w:t>
      </w:r>
      <w:r>
        <w:rPr>
          <w:rFonts w:ascii="Times New Roman" w:eastAsia="Times New Roman" w:hAnsi="Times New Roman" w:cs="Times New Roman"/>
          <w:color w:val="141414"/>
          <w:sz w:val="28"/>
          <w:szCs w:val="28"/>
        </w:rPr>
        <w:t>– громадськість”.</w:t>
      </w:r>
    </w:p>
    <w:tbl>
      <w:tblPr>
        <w:tblStyle w:val="a5"/>
        <w:tblW w:w="9715" w:type="dxa"/>
        <w:tblInd w:w="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034C54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C54" w:rsidRDefault="00550C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Педагогіка партнерства базується на :</w:t>
            </w:r>
          </w:p>
        </w:tc>
      </w:tr>
      <w:tr w:rsidR="00034C54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C54" w:rsidRDefault="00550C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Чітке зобов’язання працювати разом, щоб сприяти заохоченню навчальних досягнень дитини</w:t>
            </w:r>
          </w:p>
        </w:tc>
      </w:tr>
      <w:tr w:rsidR="00034C54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C54" w:rsidRDefault="00550C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Часте спілкування двосторонньої спрямованості</w:t>
            </w:r>
          </w:p>
        </w:tc>
      </w:tr>
      <w:tr w:rsidR="00034C54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C54" w:rsidRDefault="00550C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Заохочується культура розмаїття і визнається важливість внеску розмаїття у творення позитивного навчального середовища</w:t>
            </w:r>
          </w:p>
        </w:tc>
      </w:tr>
      <w:tr w:rsidR="00034C54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C54" w:rsidRDefault="00550C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олі чіткі, означені спільно і з метою підтримки</w:t>
            </w:r>
          </w:p>
        </w:tc>
      </w:tr>
      <w:tr w:rsidR="00034C54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C54" w:rsidRDefault="00550C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Цілі для учня  визначені спільно і можуть делегуватися</w:t>
            </w:r>
          </w:p>
          <w:p w:rsidR="00034C54" w:rsidRDefault="00550CD8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  <w:t>Плани спільно-конструйовані зі згодою щодо ролей вчителя</w:t>
            </w:r>
          </w:p>
        </w:tc>
      </w:tr>
    </w:tbl>
    <w:p w:rsidR="00034C54" w:rsidRDefault="00550C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В умовах сьогодення важлива  орієнтація на соціально-психологічну профілактику негативних явищ в освітньому середовищі, профілактику девіантної поведінки.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Проблема шкільного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це соціальна проблема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всього світу. Міжнародні дослідження PISA вимірю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вали рівень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використовуючи відповіді з погляду постраждалих.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Результати дослідження PISA показали, що найпоширенішими формами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є вербальний та фізичний. </w:t>
      </w:r>
    </w:p>
    <w:p w:rsidR="00034C54" w:rsidRDefault="00550CD8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Профілактична робота в сучасній українській школі – це спільна відповідальність педаго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гічних працівників, адміністрації та батьків. Профілактичні заходи в школі проводяться регулярно для запобігання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булінгу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мобінгу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Проводиться контроль вчителів за поведінкою здобувачів освіти, взаємостосунками між дітьми (на перервах, у дворі школи)</w:t>
      </w:r>
    </w:p>
    <w:tbl>
      <w:tblPr>
        <w:tblStyle w:val="a6"/>
        <w:tblW w:w="9715" w:type="dxa"/>
        <w:tblInd w:w="0" w:type="dxa"/>
        <w:tblBorders>
          <w:top w:val="single" w:sz="6" w:space="0" w:color="F4F4F4"/>
          <w:left w:val="single" w:sz="6" w:space="0" w:color="F4F4F4"/>
          <w:bottom w:val="single" w:sz="6" w:space="0" w:color="F4F4F4"/>
          <w:right w:val="single" w:sz="6" w:space="0" w:color="F4F4F4"/>
        </w:tblBorders>
        <w:tblLayout w:type="fixed"/>
        <w:tblLook w:val="0400" w:firstRow="0" w:lastRow="0" w:firstColumn="0" w:lastColumn="0" w:noHBand="0" w:noVBand="1"/>
      </w:tblPr>
      <w:tblGrid>
        <w:gridCol w:w="9715"/>
      </w:tblGrid>
      <w:tr w:rsidR="00034C54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F7F8F8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34C54" w:rsidRDefault="0055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Класн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і керівники успішно пройшли курс  «Протидія та попередження боулінгу (цькуванню) в закладах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освіти»на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платформі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Прометеус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Педагогічні працівники ознайомлені  з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вебсайтом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www.stopbullying.com.ua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 якому школярі та батьки можуть знайти інформацію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його наслідки та можливі дії для подолання цієї проблеми. Інформація подається в інтерактивній та відповідній до віку дітей формі. Сайт містить важливу інформацію про ознаки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способи його попередження, а також варіанти реагування на нього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батьків та вчителів. На сайті пропонуються альтернативні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булінгу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види поведінки, як-от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скейтбординг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блогінг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або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діджеїнг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   Школа має впроваджувати демократичну культуру через вироблення відповідних процедур для захисту прав дитини і формування демократ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ичних цінностей: захищати права дитини, стати місцем, безпечним для дитини, і йдеться не лише про фізичну безпеку, а й про атмосферу довіри і взаємоповаги, де немає насильства та дискримінації.</w:t>
            </w:r>
          </w:p>
          <w:p w:rsidR="00034C54" w:rsidRDefault="0055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Закінчити свій виступ я б хотіла притчею.</w:t>
            </w:r>
          </w:p>
          <w:p w:rsidR="00034C54" w:rsidRDefault="00550C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  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ПРИТЧА  ПРО ТЕ, Я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  ЗНАЙТИ  ХОРОШУ  ШКОЛУ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Батьки вибрали для сина кращого вчителя. Вранці дідусь повів онука до школи. Коли дід і онук увійшли у двір, їх оточили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діти.–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Який смішний старий, – засміявся 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хлопчик.Діти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кричали і скакали навколо діда і онука. Тут вчитель подзвонив у дзвіночок, ого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лошуючи початок уроку, і діти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втекли.Дідусь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 рішуче взяв онука за руку і вийшов на вулицю.</w:t>
            </w:r>
          </w:p>
          <w:p w:rsidR="00034C54" w:rsidRDefault="00034C5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Ура, я не піду в школу, – зрадів хлопчик.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 Підеш, але не в цю, – сердито відповів дід. – Я сам знайду тобі школу.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Дід відвів онука до себе додому, доручив його бабусі, а сам пішов шукати кращу школу . Чоловік обійшов багато шкіл. Нарешті, він увійшов в крихітний дворик маленької школи і втомлено притулився до огорожі.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Задзвенів дзвінок, і діти вибігли у двір.</w:t>
            </w:r>
          </w:p>
          <w:p w:rsidR="00034C54" w:rsidRDefault="00034C5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Дідус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ю, вам погано, принести води? – Почувся голос.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У нас у дворі є лавка, сідайте, будь ласка, – запропонував один хлопчик.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Хочете, я покличу вчителя? – Запитала інша дитина.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Незабаром у двір вийшов молодий учитель. Дід привітався і сказав:</w:t>
            </w:r>
          </w:p>
          <w:p w:rsidR="00034C54" w:rsidRDefault="00034C5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Нарешті, я з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найшов кращу школу для мого онука.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Ви помиляєтесь, дідусь, наша школа не найкраща. Вона маленька і тісна.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Старий не став сперечатися. Він про все домовився з учителем і пішов. Увечері мама хлопчика запитали діда:</w:t>
            </w:r>
          </w:p>
          <w:p w:rsidR="00034C54" w:rsidRDefault="00034C54">
            <w:pPr>
              <w:shd w:val="clear" w:color="auto" w:fill="FFFFFF"/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 Батько, Ви неграмотні. Чому Ви думаєте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 що знайшли кращого вчителя?</w:t>
            </w:r>
          </w:p>
          <w:p w:rsidR="00034C54" w:rsidRDefault="00550CD8">
            <w:pPr>
              <w:shd w:val="clear" w:color="auto" w:fill="FFFFFF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 xml:space="preserve">– Бо я побачив вихованих, чуйних, людяних  учнів, а це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–найголовніше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  <w:t>, – відповів дід.</w:t>
            </w:r>
          </w:p>
          <w:p w:rsidR="00034C54" w:rsidRDefault="0055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   А зараз запрошую вас до обговорення.</w:t>
            </w:r>
          </w:p>
          <w:p w:rsidR="00034C54" w:rsidRDefault="00550C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                                                                                                   </w:t>
            </w:r>
          </w:p>
          <w:p w:rsidR="00034C54" w:rsidRDefault="0003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034C54" w:rsidRDefault="00034C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034C54" w:rsidRDefault="00034C54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8"/>
                <w:szCs w:val="28"/>
              </w:rPr>
            </w:pPr>
          </w:p>
        </w:tc>
      </w:tr>
    </w:tbl>
    <w:p w:rsidR="00034C54" w:rsidRDefault="00034C54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34C54" w:rsidSect="00C364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0CD8" w:rsidRDefault="00550CD8">
      <w:pPr>
        <w:spacing w:after="0" w:line="240" w:lineRule="auto"/>
      </w:pPr>
      <w:r>
        <w:separator/>
      </w:r>
    </w:p>
  </w:endnote>
  <w:endnote w:type="continuationSeparator" w:id="0">
    <w:p w:rsidR="00550CD8" w:rsidRDefault="00550C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54" w:rsidRDefault="00034C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gjdgxs" w:colFirst="0" w:colLast="0"/>
  <w:bookmarkEnd w:id="1"/>
  <w:p w:rsidR="00034C54" w:rsidRDefault="00550CD8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36464">
      <w:rPr>
        <w:color w:val="000000"/>
      </w:rPr>
      <w:fldChar w:fldCharType="separate"/>
    </w:r>
    <w:r w:rsidR="00C36464">
      <w:rPr>
        <w:noProof/>
        <w:color w:val="000000"/>
      </w:rPr>
      <w:t>1</w:t>
    </w:r>
    <w:r>
      <w:rPr>
        <w:color w:val="000000"/>
      </w:rPr>
      <w:fldChar w:fldCharType="end"/>
    </w:r>
  </w:p>
  <w:p w:rsidR="00034C54" w:rsidRDefault="00034C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54" w:rsidRDefault="00034C5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9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034C54">
      <w:tc>
        <w:tcPr>
          <w:tcW w:w="3115" w:type="dxa"/>
        </w:tcPr>
        <w:p w:rsidR="00034C54" w:rsidRDefault="00034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15" w:type="dxa"/>
        </w:tcPr>
        <w:p w:rsidR="00034C54" w:rsidRDefault="00034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15" w:type="dxa"/>
        </w:tcPr>
        <w:p w:rsidR="00034C54" w:rsidRDefault="00034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034C54" w:rsidRDefault="00034C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0CD8" w:rsidRDefault="00550CD8">
      <w:pPr>
        <w:spacing w:after="0" w:line="240" w:lineRule="auto"/>
      </w:pPr>
      <w:r>
        <w:separator/>
      </w:r>
    </w:p>
  </w:footnote>
  <w:footnote w:type="continuationSeparator" w:id="0">
    <w:p w:rsidR="00550CD8" w:rsidRDefault="00550C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54" w:rsidRDefault="00034C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54" w:rsidRDefault="00034C5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sz w:val="28"/>
        <w:szCs w:val="28"/>
      </w:rPr>
    </w:pPr>
  </w:p>
  <w:tbl>
    <w:tblPr>
      <w:tblStyle w:val="a7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034C54">
      <w:tc>
        <w:tcPr>
          <w:tcW w:w="3115" w:type="dxa"/>
        </w:tcPr>
        <w:p w:rsidR="00034C54" w:rsidRDefault="00034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15" w:type="dxa"/>
        </w:tcPr>
        <w:p w:rsidR="00034C54" w:rsidRDefault="00034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15" w:type="dxa"/>
        </w:tcPr>
        <w:p w:rsidR="00034C54" w:rsidRDefault="00034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034C54" w:rsidRDefault="00034C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4C54" w:rsidRDefault="00034C54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color w:val="000000"/>
      </w:rPr>
    </w:pPr>
  </w:p>
  <w:tbl>
    <w:tblPr>
      <w:tblStyle w:val="a8"/>
      <w:tblW w:w="9345" w:type="dxa"/>
      <w:tblInd w:w="0" w:type="dxa"/>
      <w:tblLayout w:type="fixed"/>
      <w:tblLook w:val="0600" w:firstRow="0" w:lastRow="0" w:firstColumn="0" w:lastColumn="0" w:noHBand="1" w:noVBand="1"/>
    </w:tblPr>
    <w:tblGrid>
      <w:gridCol w:w="3115"/>
      <w:gridCol w:w="3115"/>
      <w:gridCol w:w="3115"/>
    </w:tblGrid>
    <w:tr w:rsidR="00034C54">
      <w:tc>
        <w:tcPr>
          <w:tcW w:w="3115" w:type="dxa"/>
        </w:tcPr>
        <w:p w:rsidR="00034C54" w:rsidRDefault="00034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left="-115"/>
            <w:rPr>
              <w:color w:val="000000"/>
            </w:rPr>
          </w:pPr>
        </w:p>
      </w:tc>
      <w:tc>
        <w:tcPr>
          <w:tcW w:w="3115" w:type="dxa"/>
        </w:tcPr>
        <w:p w:rsidR="00034C54" w:rsidRDefault="00034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color w:val="000000"/>
            </w:rPr>
          </w:pPr>
        </w:p>
      </w:tc>
      <w:tc>
        <w:tcPr>
          <w:tcW w:w="3115" w:type="dxa"/>
        </w:tcPr>
        <w:p w:rsidR="00034C54" w:rsidRDefault="00034C5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77"/>
              <w:tab w:val="right" w:pos="9355"/>
            </w:tabs>
            <w:spacing w:after="0" w:line="240" w:lineRule="auto"/>
            <w:ind w:right="-115"/>
            <w:jc w:val="right"/>
            <w:rPr>
              <w:color w:val="000000"/>
            </w:rPr>
          </w:pPr>
        </w:p>
      </w:tc>
    </w:tr>
  </w:tbl>
  <w:p w:rsidR="00034C54" w:rsidRDefault="00034C5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0AE"/>
    <w:multiLevelType w:val="multilevel"/>
    <w:tmpl w:val="22DCAA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8344500"/>
    <w:multiLevelType w:val="multilevel"/>
    <w:tmpl w:val="C68EBA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D2C016E"/>
    <w:multiLevelType w:val="multilevel"/>
    <w:tmpl w:val="14E62D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>
    <w:nsid w:val="42BA0D00"/>
    <w:multiLevelType w:val="multilevel"/>
    <w:tmpl w:val="BC3CD4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•"/>
      <w:lvlJc w:val="left"/>
      <w:pPr>
        <w:ind w:left="1650" w:hanging="570"/>
      </w:pPr>
      <w:rPr>
        <w:rFonts w:ascii="Book Antiqua" w:eastAsia="Book Antiqua" w:hAnsi="Book Antiqua" w:cs="Book Antiqu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4D4E62AF"/>
    <w:multiLevelType w:val="multilevel"/>
    <w:tmpl w:val="2F787050"/>
    <w:lvl w:ilvl="0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F572D6D"/>
    <w:multiLevelType w:val="multilevel"/>
    <w:tmpl w:val="E42063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34C54"/>
    <w:rsid w:val="00034C54"/>
    <w:rsid w:val="00550CD8"/>
    <w:rsid w:val="00C3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rsid w:val="00C36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4F81BD"/>
    </w:rPr>
  </w:style>
  <w:style w:type="paragraph" w:styleId="5">
    <w:name w:val="heading 5"/>
    <w:basedOn w:val="a"/>
    <w:next w:val="a"/>
    <w:pPr>
      <w:keepNext/>
      <w:keepLines/>
      <w:spacing w:before="200" w:after="0"/>
      <w:outlineLvl w:val="4"/>
    </w:pPr>
    <w:rPr>
      <w:rFonts w:ascii="Cambria" w:eastAsia="Cambria" w:hAnsi="Cambria" w:cs="Cambria"/>
      <w:color w:val="243F61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character" w:styleId="aa">
    <w:name w:val="Hyperlink"/>
    <w:rsid w:val="00C36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ol.number6@Gmail.com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nus.org.ua/articles/zabuta-ukrayinska-shkola-suhomlynskogo-uyavne-interv-yu-z-legendarnym-pedagog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2967</Words>
  <Characters>16914</Characters>
  <Application>Microsoft Office Word</Application>
  <DocSecurity>0</DocSecurity>
  <Lines>140</Lines>
  <Paragraphs>39</Paragraphs>
  <ScaleCrop>false</ScaleCrop>
  <Company/>
  <LinksUpToDate>false</LinksUpToDate>
  <CharactersWithSpaces>19842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SuperUser</cp:lastModifiedBy>
  <cp:revision>2</cp:revision>
  <dcterms:created xsi:type="dcterms:W3CDTF">2021-04-16T08:45:00Z</dcterms:created>
  <dcterms:modified xsi:type="dcterms:W3CDTF">2021-04-16T08:47:00Z</dcterms:modified>
</cp:coreProperties>
</file>