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5A" w:rsidRDefault="004E30BF" w:rsidP="008B6E5A">
      <w:pPr>
        <w:rPr>
          <w:b/>
          <w:szCs w:val="28"/>
        </w:rPr>
      </w:pPr>
      <w:bookmarkStart w:id="0" w:name="_GoBack"/>
      <w:bookmarkEnd w:id="0"/>
      <w:r>
        <w:rPr>
          <w:rFonts w:asciiTheme="minorHAnsi" w:eastAsiaTheme="minorEastAsia" w:hAnsiTheme="minorHAnsi" w:cstheme="minorBid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95pt;margin-top:12.9pt;width:52.2pt;height:64.8pt;z-index:251659264">
            <v:imagedata r:id="rId5" o:title=""/>
          </v:shape>
          <o:OLEObject Type="Embed" ProgID="PBrush" ShapeID="_x0000_s1026" DrawAspect="Content" ObjectID="_1615965424" r:id="rId6"/>
        </w:object>
      </w:r>
    </w:p>
    <w:p w:rsidR="008B6E5A" w:rsidRDefault="008B6E5A" w:rsidP="008B6E5A">
      <w:pPr>
        <w:rPr>
          <w:b/>
          <w:szCs w:val="28"/>
        </w:rPr>
      </w:pPr>
    </w:p>
    <w:p w:rsidR="008B6E5A" w:rsidRDefault="008B6E5A" w:rsidP="008B6E5A">
      <w:pPr>
        <w:rPr>
          <w:b/>
          <w:szCs w:val="28"/>
        </w:rPr>
      </w:pPr>
    </w:p>
    <w:p w:rsidR="008B6E5A" w:rsidRPr="00F73F58" w:rsidRDefault="008B6E5A" w:rsidP="008B6E5A">
      <w:pPr>
        <w:spacing w:after="160" w:line="259" w:lineRule="auto"/>
        <w:rPr>
          <w:rFonts w:eastAsiaTheme="minorHAnsi"/>
          <w:sz w:val="28"/>
          <w:szCs w:val="28"/>
          <w:lang w:val="en-US" w:eastAsia="en-US"/>
        </w:rPr>
      </w:pPr>
    </w:p>
    <w:p w:rsidR="008B6E5A" w:rsidRPr="00F73F58" w:rsidRDefault="008B6E5A" w:rsidP="008B6E5A">
      <w:pPr>
        <w:tabs>
          <w:tab w:val="left" w:pos="0"/>
          <w:tab w:val="left" w:pos="1416"/>
          <w:tab w:val="left" w:pos="3540"/>
          <w:tab w:val="center" w:pos="4960"/>
        </w:tabs>
        <w:rPr>
          <w:rFonts w:eastAsiaTheme="minorEastAsia"/>
          <w:b/>
          <w:sz w:val="32"/>
          <w:szCs w:val="32"/>
        </w:rPr>
      </w:pPr>
    </w:p>
    <w:p w:rsidR="008B6E5A" w:rsidRPr="00F73F58" w:rsidRDefault="008B6E5A" w:rsidP="008B6E5A">
      <w:pPr>
        <w:tabs>
          <w:tab w:val="left" w:pos="0"/>
          <w:tab w:val="left" w:pos="1416"/>
          <w:tab w:val="left" w:pos="3540"/>
          <w:tab w:val="center" w:pos="4960"/>
        </w:tabs>
        <w:jc w:val="center"/>
        <w:rPr>
          <w:rFonts w:eastAsiaTheme="minorEastAsia"/>
          <w:b/>
        </w:rPr>
      </w:pPr>
      <w:r w:rsidRPr="00F73F58">
        <w:rPr>
          <w:rFonts w:eastAsiaTheme="minorEastAsia"/>
          <w:b/>
          <w:sz w:val="32"/>
          <w:szCs w:val="32"/>
        </w:rPr>
        <w:t>БАЛТСЬКА МІСЬКА  РАДА</w:t>
      </w:r>
      <w:r w:rsidRPr="00F73F58">
        <w:rPr>
          <w:rFonts w:eastAsiaTheme="minorEastAsia"/>
          <w:b/>
        </w:rPr>
        <w:t xml:space="preserve">  </w:t>
      </w:r>
      <w:r w:rsidRPr="00F73F58">
        <w:rPr>
          <w:rFonts w:eastAsiaTheme="minorEastAsia"/>
          <w:b/>
          <w:sz w:val="32"/>
          <w:szCs w:val="32"/>
        </w:rPr>
        <w:t>ОДЕСЬКОЇ  ОБЛАСТІ</w:t>
      </w:r>
    </w:p>
    <w:p w:rsidR="008B6E5A" w:rsidRPr="00F73F58" w:rsidRDefault="008B6E5A" w:rsidP="008B6E5A">
      <w:pPr>
        <w:tabs>
          <w:tab w:val="left" w:pos="0"/>
          <w:tab w:val="left" w:pos="1416"/>
          <w:tab w:val="left" w:pos="3540"/>
          <w:tab w:val="center" w:pos="4960"/>
        </w:tabs>
        <w:jc w:val="center"/>
        <w:rPr>
          <w:rFonts w:eastAsiaTheme="minorEastAsia"/>
          <w:b/>
        </w:rPr>
      </w:pPr>
      <w:r w:rsidRPr="00F73F58">
        <w:rPr>
          <w:rFonts w:eastAsiaTheme="minorEastAsia"/>
          <w:b/>
        </w:rPr>
        <w:t>ВІДДІЛ ОСВІТИ</w:t>
      </w:r>
    </w:p>
    <w:p w:rsidR="008B6E5A" w:rsidRPr="00F73F58" w:rsidRDefault="008B6E5A" w:rsidP="008B6E5A">
      <w:pPr>
        <w:tabs>
          <w:tab w:val="left" w:pos="0"/>
          <w:tab w:val="left" w:pos="1416"/>
          <w:tab w:val="left" w:pos="3540"/>
          <w:tab w:val="center" w:pos="4960"/>
        </w:tabs>
        <w:jc w:val="center"/>
        <w:rPr>
          <w:rFonts w:eastAsiaTheme="minorEastAsia"/>
          <w:b/>
        </w:rPr>
      </w:pPr>
      <w:r w:rsidRPr="00F73F58">
        <w:rPr>
          <w:rFonts w:eastAsiaTheme="minorEastAsia"/>
          <w:b/>
        </w:rPr>
        <w:t>Навчально-виховний комплекс «</w:t>
      </w:r>
      <w:proofErr w:type="spellStart"/>
      <w:r w:rsidRPr="00F73F58">
        <w:rPr>
          <w:rFonts w:eastAsiaTheme="minorEastAsia"/>
          <w:b/>
        </w:rPr>
        <w:t>Білинська</w:t>
      </w:r>
      <w:proofErr w:type="spellEnd"/>
      <w:r w:rsidRPr="00F73F58">
        <w:rPr>
          <w:rFonts w:eastAsiaTheme="minorEastAsia"/>
          <w:b/>
        </w:rPr>
        <w:t xml:space="preserve"> загальноосвітня школа  І – ІІІ ступенів – дошкільний навчальний заклад» Балтської міської ради Одеської області</w:t>
      </w:r>
    </w:p>
    <w:p w:rsidR="008B6E5A" w:rsidRPr="00F73F58" w:rsidRDefault="008B6E5A" w:rsidP="008B6E5A">
      <w:pPr>
        <w:jc w:val="center"/>
        <w:rPr>
          <w:rFonts w:eastAsiaTheme="minorEastAsia"/>
        </w:rPr>
      </w:pPr>
      <w:r w:rsidRPr="00F73F58">
        <w:rPr>
          <w:rFonts w:eastAsiaTheme="minorEastAsia"/>
        </w:rPr>
        <w:t xml:space="preserve">66161 Одеська обл., Балтський р-н, с. </w:t>
      </w:r>
      <w:proofErr w:type="spellStart"/>
      <w:r w:rsidRPr="00F73F58">
        <w:rPr>
          <w:rFonts w:eastAsiaTheme="minorEastAsia"/>
        </w:rPr>
        <w:t>Білине</w:t>
      </w:r>
      <w:proofErr w:type="spellEnd"/>
      <w:r w:rsidRPr="00F73F58">
        <w:rPr>
          <w:rFonts w:eastAsiaTheme="minorEastAsia"/>
        </w:rPr>
        <w:t xml:space="preserve">, вул. Привокзальна 69, </w:t>
      </w:r>
      <w:proofErr w:type="spellStart"/>
      <w:r w:rsidRPr="00F73F58">
        <w:rPr>
          <w:rFonts w:eastAsiaTheme="minorEastAsia"/>
        </w:rPr>
        <w:t>тел</w:t>
      </w:r>
      <w:proofErr w:type="spellEnd"/>
      <w:r w:rsidRPr="00F73F58">
        <w:rPr>
          <w:rFonts w:eastAsiaTheme="minorEastAsia"/>
        </w:rPr>
        <w:t>. 0486699 1-42</w:t>
      </w:r>
    </w:p>
    <w:p w:rsidR="008B6E5A" w:rsidRPr="00F73F58" w:rsidRDefault="008B6E5A" w:rsidP="008B6E5A">
      <w:pPr>
        <w:jc w:val="center"/>
        <w:rPr>
          <w:rFonts w:eastAsiaTheme="minorEastAsia"/>
        </w:rPr>
      </w:pPr>
      <w:r w:rsidRPr="00F73F58">
        <w:rPr>
          <w:rFonts w:eastAsiaTheme="minorEastAsia"/>
          <w:lang w:val="en-US"/>
        </w:rPr>
        <w:t>E</w:t>
      </w:r>
      <w:r w:rsidRPr="00F73F58">
        <w:rPr>
          <w:rFonts w:eastAsiaTheme="minorEastAsia"/>
        </w:rPr>
        <w:t>-</w:t>
      </w:r>
      <w:r w:rsidRPr="00F73F58">
        <w:rPr>
          <w:rFonts w:eastAsiaTheme="minorEastAsia"/>
          <w:lang w:val="en-US"/>
        </w:rPr>
        <w:t>mail</w:t>
      </w:r>
      <w:r w:rsidRPr="00F73F58">
        <w:rPr>
          <w:rFonts w:eastAsiaTheme="minorEastAsia"/>
        </w:rPr>
        <w:t xml:space="preserve">: </w:t>
      </w:r>
      <w:proofErr w:type="spellStart"/>
      <w:r w:rsidRPr="00F73F58">
        <w:rPr>
          <w:rFonts w:eastAsiaTheme="minorEastAsia"/>
          <w:lang w:val="en-US"/>
        </w:rPr>
        <w:t>Belinoschool</w:t>
      </w:r>
      <w:proofErr w:type="spellEnd"/>
      <w:r w:rsidRPr="00F73F58">
        <w:rPr>
          <w:rFonts w:eastAsiaTheme="minorEastAsia"/>
        </w:rPr>
        <w:t>@</w:t>
      </w:r>
      <w:proofErr w:type="spellStart"/>
      <w:r w:rsidRPr="00F73F58">
        <w:rPr>
          <w:rFonts w:eastAsiaTheme="minorEastAsia"/>
          <w:lang w:val="en-US"/>
        </w:rPr>
        <w:t>bigmir</w:t>
      </w:r>
      <w:proofErr w:type="spellEnd"/>
      <w:r w:rsidRPr="00F73F58">
        <w:rPr>
          <w:rFonts w:eastAsiaTheme="minorEastAsia"/>
        </w:rPr>
        <w:t>.</w:t>
      </w:r>
      <w:r w:rsidRPr="00F73F58">
        <w:rPr>
          <w:rFonts w:eastAsiaTheme="minorEastAsia"/>
          <w:lang w:val="en-US"/>
        </w:rPr>
        <w:t>net</w:t>
      </w:r>
      <w:r w:rsidRPr="00F73F58">
        <w:rPr>
          <w:rFonts w:eastAsiaTheme="minorEastAsia"/>
        </w:rPr>
        <w:t xml:space="preserve">    Код ЄДРПОУ 34010870</w:t>
      </w:r>
    </w:p>
    <w:p w:rsidR="008B6E5A" w:rsidRPr="004403FE" w:rsidRDefault="008B6E5A" w:rsidP="008B6E5A">
      <w:pPr>
        <w:rPr>
          <w:b/>
        </w:rPr>
      </w:pPr>
    </w:p>
    <w:p w:rsidR="00AC4B05" w:rsidRPr="004403FE" w:rsidRDefault="00AC4B05" w:rsidP="008B6E5A">
      <w:pPr>
        <w:jc w:val="center"/>
        <w:rPr>
          <w:b/>
        </w:rPr>
      </w:pPr>
      <w:r w:rsidRPr="004403FE">
        <w:rPr>
          <w:b/>
        </w:rPr>
        <w:t>НАКАЗ</w:t>
      </w:r>
    </w:p>
    <w:p w:rsidR="00AC4B05" w:rsidRPr="00443857" w:rsidRDefault="00AC4B05" w:rsidP="00AC4B05">
      <w:pPr>
        <w:jc w:val="center"/>
        <w:rPr>
          <w:b/>
        </w:rPr>
      </w:pPr>
    </w:p>
    <w:p w:rsidR="00AC4B05" w:rsidRPr="00FB7A0C" w:rsidRDefault="00AC4B05" w:rsidP="00AC4B05">
      <w:pPr>
        <w:rPr>
          <w:sz w:val="28"/>
          <w:szCs w:val="28"/>
        </w:rPr>
      </w:pPr>
      <w:r w:rsidRPr="00FB7A0C">
        <w:rPr>
          <w:sz w:val="28"/>
          <w:szCs w:val="28"/>
        </w:rPr>
        <w:t xml:space="preserve"> </w:t>
      </w:r>
      <w:r w:rsidR="00FB7A0C" w:rsidRPr="00FB7A0C">
        <w:rPr>
          <w:sz w:val="28"/>
          <w:szCs w:val="28"/>
        </w:rPr>
        <w:t>25</w:t>
      </w:r>
      <w:r w:rsidRPr="00FB7A0C">
        <w:rPr>
          <w:sz w:val="28"/>
          <w:szCs w:val="28"/>
        </w:rPr>
        <w:t xml:space="preserve">.03.2019                                </w:t>
      </w:r>
      <w:r w:rsidR="00FB7A0C">
        <w:rPr>
          <w:sz w:val="28"/>
          <w:szCs w:val="28"/>
        </w:rPr>
        <w:t xml:space="preserve">          </w:t>
      </w:r>
      <w:r w:rsidRPr="00FB7A0C">
        <w:rPr>
          <w:sz w:val="28"/>
          <w:szCs w:val="28"/>
        </w:rPr>
        <w:t xml:space="preserve">                                                           №</w:t>
      </w:r>
      <w:r w:rsidR="008B6E5A">
        <w:rPr>
          <w:sz w:val="28"/>
          <w:szCs w:val="28"/>
        </w:rPr>
        <w:t>41</w:t>
      </w:r>
      <w:r w:rsidRPr="00FB7A0C">
        <w:rPr>
          <w:sz w:val="28"/>
          <w:szCs w:val="28"/>
        </w:rPr>
        <w:t xml:space="preserve">  </w:t>
      </w:r>
    </w:p>
    <w:p w:rsidR="00AC4B05" w:rsidRPr="00FB7A0C" w:rsidRDefault="00AC4B05" w:rsidP="00AC4B05">
      <w:pPr>
        <w:pStyle w:val="1"/>
        <w:tabs>
          <w:tab w:val="left" w:pos="9072"/>
        </w:tabs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AC4B05" w:rsidRPr="00FB7A0C" w:rsidTr="000B5391">
        <w:tc>
          <w:tcPr>
            <w:tcW w:w="4644" w:type="dxa"/>
            <w:hideMark/>
          </w:tcPr>
          <w:p w:rsidR="00AC4B05" w:rsidRPr="00FB7A0C" w:rsidRDefault="00AC4B05" w:rsidP="000B5391">
            <w:pPr>
              <w:jc w:val="both"/>
              <w:rPr>
                <w:sz w:val="28"/>
                <w:szCs w:val="28"/>
              </w:rPr>
            </w:pPr>
          </w:p>
          <w:p w:rsidR="00AC4B05" w:rsidRPr="00FB7A0C" w:rsidRDefault="00AC4B05" w:rsidP="00FB7A0C">
            <w:pPr>
              <w:jc w:val="both"/>
              <w:rPr>
                <w:b/>
                <w:sz w:val="28"/>
                <w:szCs w:val="28"/>
              </w:rPr>
            </w:pPr>
            <w:r w:rsidRPr="00FB7A0C">
              <w:rPr>
                <w:b/>
                <w:sz w:val="28"/>
                <w:szCs w:val="28"/>
              </w:rPr>
              <w:t xml:space="preserve">Про заборону збору коштів у </w:t>
            </w:r>
            <w:r w:rsidR="00FB7A0C" w:rsidRPr="00FB7A0C">
              <w:rPr>
                <w:b/>
                <w:sz w:val="28"/>
                <w:szCs w:val="28"/>
              </w:rPr>
              <w:t>НВК</w:t>
            </w:r>
          </w:p>
        </w:tc>
      </w:tr>
    </w:tbl>
    <w:p w:rsidR="00AC4B05" w:rsidRPr="00FB7A0C" w:rsidRDefault="00AC4B05" w:rsidP="00AC4B05">
      <w:pPr>
        <w:jc w:val="both"/>
        <w:rPr>
          <w:sz w:val="28"/>
          <w:szCs w:val="28"/>
        </w:rPr>
      </w:pPr>
    </w:p>
    <w:p w:rsidR="00AC4B05" w:rsidRPr="00FB7A0C" w:rsidRDefault="00AC4B05" w:rsidP="00AC4B05">
      <w:pPr>
        <w:ind w:firstLine="708"/>
        <w:jc w:val="both"/>
        <w:rPr>
          <w:sz w:val="28"/>
          <w:szCs w:val="28"/>
        </w:rPr>
      </w:pPr>
      <w:r w:rsidRPr="00FB7A0C">
        <w:rPr>
          <w:sz w:val="28"/>
          <w:szCs w:val="28"/>
        </w:rPr>
        <w:t xml:space="preserve">Відповідно до статті 53 Конституції України, </w:t>
      </w:r>
      <w:proofErr w:type="spellStart"/>
      <w:r w:rsidRPr="00FB7A0C">
        <w:rPr>
          <w:sz w:val="28"/>
          <w:szCs w:val="28"/>
        </w:rPr>
        <w:t>статтей</w:t>
      </w:r>
      <w:proofErr w:type="spellEnd"/>
      <w:r w:rsidRPr="00FB7A0C">
        <w:rPr>
          <w:sz w:val="28"/>
          <w:szCs w:val="28"/>
        </w:rPr>
        <w:t xml:space="preserve"> 30, 79 Закону України «Про освіту», на виконання вимог законів України «Про запобігання корупції», «Про благодійну діяльність та благодійні організації», постанови Кабінету Міністрів України від 04.08.2000 р. № 1222 «Про затвердження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соціального захисту, культури, науки, спорту та фізичного виховання для потреб їх фінансування», листа Міністерства освіти і науки України від 05.09.2013 р. № 1/9-608 «Щодо благодійних внесків», у зв’язку зі  зверненнями батьків стосовно порушень нормативно-правових актів, які регламентують діяльність закладів освіти, з метою попередження зловживань службовим становищем працівниками закладів освіти, забезпечення конституційного права громадян на доступність і безоплатність освіти, забезпечення прозорості надходження і використання благодійних та спонсорських коштів та уникнення неконтрольованих зборів коштів з батьків у закладах освіти</w:t>
      </w:r>
      <w:r w:rsidR="00FB7A0C" w:rsidRPr="00FB7A0C">
        <w:rPr>
          <w:sz w:val="28"/>
          <w:szCs w:val="28"/>
        </w:rPr>
        <w:t xml:space="preserve">, відповідно наказу Балтського міського відділу освіти від 25.03.2019 року №  «Про заборону збору коштів у закладах дошкільної, позашкільної та загальної середньої освіти», згідно вищесказаного, </w:t>
      </w:r>
      <w:r w:rsidRPr="00FB7A0C">
        <w:rPr>
          <w:sz w:val="28"/>
          <w:szCs w:val="28"/>
        </w:rPr>
        <w:t xml:space="preserve"> </w:t>
      </w:r>
    </w:p>
    <w:p w:rsidR="00AC4B05" w:rsidRPr="00FB7A0C" w:rsidRDefault="00AC4B05" w:rsidP="00AC4B05">
      <w:pPr>
        <w:jc w:val="both"/>
        <w:rPr>
          <w:sz w:val="28"/>
          <w:szCs w:val="28"/>
        </w:rPr>
      </w:pPr>
    </w:p>
    <w:p w:rsidR="00AC4B05" w:rsidRPr="00FB7A0C" w:rsidRDefault="00AC4B05" w:rsidP="00AC4B05">
      <w:pPr>
        <w:jc w:val="both"/>
        <w:rPr>
          <w:sz w:val="28"/>
          <w:szCs w:val="28"/>
        </w:rPr>
      </w:pPr>
      <w:r w:rsidRPr="00FB7A0C">
        <w:rPr>
          <w:sz w:val="28"/>
          <w:szCs w:val="28"/>
        </w:rPr>
        <w:t>Н А К А З У Ю:</w:t>
      </w:r>
    </w:p>
    <w:p w:rsidR="00AC4B05" w:rsidRPr="00FB7A0C" w:rsidRDefault="00AC4B05" w:rsidP="00AC4B05">
      <w:pPr>
        <w:ind w:firstLine="709"/>
        <w:jc w:val="both"/>
        <w:rPr>
          <w:sz w:val="28"/>
          <w:szCs w:val="28"/>
        </w:rPr>
      </w:pPr>
    </w:p>
    <w:p w:rsidR="00AC4B05" w:rsidRPr="00FB7A0C" w:rsidRDefault="00AC4B05" w:rsidP="00AC4B05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B7A0C">
        <w:rPr>
          <w:sz w:val="28"/>
          <w:szCs w:val="28"/>
        </w:rPr>
        <w:t xml:space="preserve">Заборонити збір готівкових коштів працівниками </w:t>
      </w:r>
      <w:r w:rsidR="00FB7A0C" w:rsidRPr="00FB7A0C">
        <w:rPr>
          <w:sz w:val="28"/>
          <w:szCs w:val="28"/>
        </w:rPr>
        <w:t>НВК</w:t>
      </w:r>
      <w:r w:rsidRPr="00FB7A0C">
        <w:rPr>
          <w:sz w:val="28"/>
          <w:szCs w:val="28"/>
        </w:rPr>
        <w:t xml:space="preserve"> з батьків, учнів та вихованців для вирішення фінансових питань, пов’язаних з покращенням матеріально-технічного забезпечення </w:t>
      </w:r>
      <w:r w:rsidR="00FB7A0C" w:rsidRPr="00FB7A0C">
        <w:rPr>
          <w:sz w:val="28"/>
          <w:szCs w:val="28"/>
        </w:rPr>
        <w:t>школи та ЗДО</w:t>
      </w:r>
      <w:r w:rsidRPr="00FB7A0C">
        <w:rPr>
          <w:sz w:val="28"/>
          <w:szCs w:val="28"/>
        </w:rPr>
        <w:t>, проведенням ремонтних робіт, тощо.</w:t>
      </w:r>
    </w:p>
    <w:p w:rsidR="00AC4B05" w:rsidRPr="00FB7A0C" w:rsidRDefault="00AC4B05" w:rsidP="00AC4B05">
      <w:pPr>
        <w:tabs>
          <w:tab w:val="left" w:pos="284"/>
        </w:tabs>
        <w:jc w:val="both"/>
        <w:rPr>
          <w:sz w:val="28"/>
          <w:szCs w:val="28"/>
        </w:rPr>
      </w:pPr>
    </w:p>
    <w:p w:rsidR="00AC4B05" w:rsidRPr="00FB7A0C" w:rsidRDefault="00FB7A0C" w:rsidP="00AC4B05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B7A0C">
        <w:rPr>
          <w:sz w:val="28"/>
          <w:szCs w:val="28"/>
        </w:rPr>
        <w:lastRenderedPageBreak/>
        <w:t>Заступнику директора з навчально – виховної роботи Калмацуй О.Б.</w:t>
      </w:r>
      <w:r w:rsidR="00AC4B05" w:rsidRPr="00FB7A0C">
        <w:rPr>
          <w:sz w:val="28"/>
          <w:szCs w:val="28"/>
        </w:rPr>
        <w:t>:</w:t>
      </w:r>
    </w:p>
    <w:p w:rsidR="00AC4B05" w:rsidRPr="00FB7A0C" w:rsidRDefault="00AC4B05" w:rsidP="00AC4B05">
      <w:pPr>
        <w:jc w:val="both"/>
        <w:rPr>
          <w:sz w:val="28"/>
          <w:szCs w:val="28"/>
        </w:rPr>
      </w:pPr>
    </w:p>
    <w:p w:rsidR="00AC4B05" w:rsidRPr="00FB7A0C" w:rsidRDefault="00AC4B05" w:rsidP="00AC4B05">
      <w:pPr>
        <w:ind w:hanging="426"/>
        <w:jc w:val="both"/>
        <w:rPr>
          <w:sz w:val="28"/>
          <w:szCs w:val="28"/>
        </w:rPr>
      </w:pPr>
      <w:r w:rsidRPr="00FB7A0C">
        <w:rPr>
          <w:sz w:val="28"/>
          <w:szCs w:val="28"/>
        </w:rPr>
        <w:t xml:space="preserve">      2.1. Провести роз’яснювальну роботу з  членами батьківських комітетів щодо недопустимості збору коштів на придбання подарунків для </w:t>
      </w:r>
      <w:r w:rsidR="00FB7A0C" w:rsidRPr="00FB7A0C">
        <w:rPr>
          <w:sz w:val="28"/>
          <w:szCs w:val="28"/>
        </w:rPr>
        <w:t>НВК</w:t>
      </w:r>
      <w:r w:rsidRPr="00FB7A0C">
        <w:rPr>
          <w:sz w:val="28"/>
          <w:szCs w:val="28"/>
        </w:rPr>
        <w:t xml:space="preserve"> та педагогічних працівників.                                                                                                                                           2.2. Неухильно виконувати вимоги чинного законодавства України щодо отримання, використання та обліку благодійних (добровільних) внесків від юридичних та фізичних осіб.</w:t>
      </w:r>
    </w:p>
    <w:p w:rsidR="00AC4B05" w:rsidRPr="00FB7A0C" w:rsidRDefault="00AC4B05" w:rsidP="00AC4B05">
      <w:pPr>
        <w:jc w:val="both"/>
        <w:rPr>
          <w:sz w:val="28"/>
          <w:szCs w:val="28"/>
        </w:rPr>
      </w:pPr>
      <w:r w:rsidRPr="00FB7A0C">
        <w:rPr>
          <w:sz w:val="28"/>
          <w:szCs w:val="28"/>
        </w:rPr>
        <w:t xml:space="preserve">2.3. Надходження  благодійних внесків може здійснюватися виключно на добровільних засадах  у безготівковій формі на спеціальний рахунок закладу. </w:t>
      </w:r>
    </w:p>
    <w:p w:rsidR="00AC4B05" w:rsidRPr="00FB7A0C" w:rsidRDefault="00AC4B05" w:rsidP="00AC4B05">
      <w:pPr>
        <w:jc w:val="both"/>
        <w:rPr>
          <w:sz w:val="28"/>
          <w:szCs w:val="28"/>
        </w:rPr>
      </w:pPr>
      <w:r w:rsidRPr="00FB7A0C">
        <w:rPr>
          <w:sz w:val="28"/>
          <w:szCs w:val="28"/>
        </w:rPr>
        <w:t xml:space="preserve">  </w:t>
      </w:r>
    </w:p>
    <w:p w:rsidR="00AC4B05" w:rsidRPr="00FB7A0C" w:rsidRDefault="00FB7A0C" w:rsidP="00AC4B05">
      <w:pPr>
        <w:jc w:val="both"/>
        <w:rPr>
          <w:sz w:val="28"/>
          <w:szCs w:val="28"/>
          <w:lang w:eastAsia="uk-UA"/>
        </w:rPr>
      </w:pPr>
      <w:r w:rsidRPr="00FB7A0C">
        <w:rPr>
          <w:sz w:val="28"/>
          <w:szCs w:val="28"/>
          <w:lang w:eastAsia="uk-UA"/>
        </w:rPr>
        <w:t>2.4.П</w:t>
      </w:r>
      <w:r w:rsidR="00AC4B05" w:rsidRPr="00FB7A0C">
        <w:rPr>
          <w:sz w:val="28"/>
          <w:szCs w:val="28"/>
          <w:lang w:eastAsia="uk-UA"/>
        </w:rPr>
        <w:t xml:space="preserve">ровести наради з працівниками </w:t>
      </w:r>
      <w:r w:rsidRPr="00FB7A0C">
        <w:rPr>
          <w:sz w:val="28"/>
          <w:szCs w:val="28"/>
          <w:lang w:eastAsia="uk-UA"/>
        </w:rPr>
        <w:t>НВК</w:t>
      </w:r>
      <w:r w:rsidR="00AC4B05" w:rsidRPr="00FB7A0C">
        <w:rPr>
          <w:sz w:val="28"/>
          <w:szCs w:val="28"/>
          <w:lang w:eastAsia="uk-UA"/>
        </w:rPr>
        <w:t>, довести до відома під розпис цей наказ та опрацювати законодавчу базу щодо порядку надходження та  використання благодійних внесків.</w:t>
      </w:r>
    </w:p>
    <w:p w:rsidR="00FB7A0C" w:rsidRPr="00FB7A0C" w:rsidRDefault="00FB7A0C" w:rsidP="00FB7A0C">
      <w:pPr>
        <w:jc w:val="right"/>
        <w:rPr>
          <w:sz w:val="28"/>
          <w:szCs w:val="28"/>
          <w:lang w:eastAsia="uk-UA"/>
        </w:rPr>
      </w:pPr>
      <w:r w:rsidRPr="00FB7A0C">
        <w:rPr>
          <w:sz w:val="28"/>
          <w:szCs w:val="28"/>
          <w:lang w:eastAsia="uk-UA"/>
        </w:rPr>
        <w:t>До 25.03.2019 року</w:t>
      </w:r>
    </w:p>
    <w:p w:rsidR="00AC4B05" w:rsidRPr="00FB7A0C" w:rsidRDefault="00AC4B05" w:rsidP="00AC4B05">
      <w:pPr>
        <w:jc w:val="both"/>
        <w:rPr>
          <w:sz w:val="28"/>
          <w:szCs w:val="28"/>
        </w:rPr>
      </w:pPr>
    </w:p>
    <w:p w:rsidR="00AC4B05" w:rsidRPr="00FB7A0C" w:rsidRDefault="00AC4B05" w:rsidP="00AC4B05">
      <w:pPr>
        <w:jc w:val="both"/>
        <w:rPr>
          <w:sz w:val="28"/>
          <w:szCs w:val="28"/>
        </w:rPr>
      </w:pPr>
      <w:r w:rsidRPr="00FB7A0C">
        <w:rPr>
          <w:sz w:val="28"/>
          <w:szCs w:val="28"/>
        </w:rPr>
        <w:t xml:space="preserve">2.5. Довести цей наказ до відома батьківської громадськості  на батьківських зборах </w:t>
      </w:r>
    </w:p>
    <w:p w:rsidR="00AC4B05" w:rsidRPr="00FB7A0C" w:rsidRDefault="00AC4B05" w:rsidP="00AC4B05">
      <w:pPr>
        <w:jc w:val="both"/>
        <w:rPr>
          <w:sz w:val="28"/>
          <w:szCs w:val="28"/>
        </w:rPr>
      </w:pPr>
    </w:p>
    <w:p w:rsidR="00AC4B05" w:rsidRPr="00FB7A0C" w:rsidRDefault="00AC4B05" w:rsidP="00AC4B05">
      <w:pPr>
        <w:jc w:val="both"/>
        <w:rPr>
          <w:sz w:val="28"/>
          <w:szCs w:val="28"/>
        </w:rPr>
      </w:pPr>
      <w:r w:rsidRPr="00FB7A0C">
        <w:rPr>
          <w:sz w:val="28"/>
          <w:szCs w:val="28"/>
        </w:rPr>
        <w:t xml:space="preserve">2.6. Забезпечити </w:t>
      </w:r>
      <w:r w:rsidRPr="00FB7A0C">
        <w:rPr>
          <w:color w:val="000000"/>
          <w:sz w:val="28"/>
          <w:szCs w:val="28"/>
        </w:rPr>
        <w:t>оприлюднення інформації та документів про свою діяльність, зазначену в статті 30 Закону України «Про освіту»,</w:t>
      </w:r>
      <w:r w:rsidRPr="00FB7A0C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FB7A0C">
        <w:rPr>
          <w:color w:val="000000"/>
          <w:sz w:val="28"/>
          <w:szCs w:val="28"/>
        </w:rPr>
        <w:t>кошторис і фінансовий звіт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законодавством, на веб-сайті закладу освіти або в  інший спосіб, передбачений чинним законодавством</w:t>
      </w:r>
      <w:r w:rsidRPr="00FB7A0C">
        <w:rPr>
          <w:sz w:val="28"/>
          <w:szCs w:val="28"/>
        </w:rPr>
        <w:t>.</w:t>
      </w:r>
    </w:p>
    <w:p w:rsidR="00AC4B05" w:rsidRPr="00FB7A0C" w:rsidRDefault="00AC4B05" w:rsidP="00AC4B05">
      <w:pPr>
        <w:jc w:val="both"/>
        <w:rPr>
          <w:sz w:val="28"/>
          <w:szCs w:val="28"/>
        </w:rPr>
      </w:pPr>
    </w:p>
    <w:p w:rsidR="00AC4B05" w:rsidRPr="00FB7A0C" w:rsidRDefault="00AC4B05" w:rsidP="00AC4B05">
      <w:pPr>
        <w:jc w:val="both"/>
        <w:rPr>
          <w:sz w:val="28"/>
          <w:szCs w:val="28"/>
        </w:rPr>
      </w:pPr>
      <w:r w:rsidRPr="00FB7A0C">
        <w:rPr>
          <w:sz w:val="28"/>
          <w:szCs w:val="28"/>
        </w:rPr>
        <w:t>2.7. Щорічно протягом травня-червня проводити звітування про використання бюджетних та благодійних коштів перед трудовим колективом та  громадськістю.</w:t>
      </w:r>
    </w:p>
    <w:p w:rsidR="00AC4B05" w:rsidRPr="00FB7A0C" w:rsidRDefault="00AC4B05" w:rsidP="00AC4B05">
      <w:pPr>
        <w:jc w:val="both"/>
        <w:rPr>
          <w:sz w:val="28"/>
          <w:szCs w:val="28"/>
        </w:rPr>
      </w:pPr>
    </w:p>
    <w:p w:rsidR="00AC4B05" w:rsidRPr="00FB7A0C" w:rsidRDefault="00AC4B05" w:rsidP="00AC4B05">
      <w:pPr>
        <w:jc w:val="both"/>
        <w:rPr>
          <w:sz w:val="28"/>
          <w:szCs w:val="28"/>
        </w:rPr>
      </w:pPr>
      <w:r w:rsidRPr="00FB7A0C">
        <w:rPr>
          <w:sz w:val="28"/>
          <w:szCs w:val="28"/>
        </w:rPr>
        <w:t>2.8. Здійснювати контроль за належним виконанням працівниками закладів освіти своїх функціональних обов’язків згідно із посадовою інструкцією та притягувати до відповідальності працівників за примусовий та незаконний збір коштів з батьків, учнів та вихованців.</w:t>
      </w:r>
    </w:p>
    <w:p w:rsidR="00AC4B05" w:rsidRPr="00FB7A0C" w:rsidRDefault="00AC4B05" w:rsidP="00AC4B05">
      <w:pPr>
        <w:jc w:val="both"/>
        <w:rPr>
          <w:sz w:val="28"/>
          <w:szCs w:val="28"/>
        </w:rPr>
      </w:pPr>
    </w:p>
    <w:p w:rsidR="00AC4B05" w:rsidRPr="00FB7A0C" w:rsidRDefault="00AC4B05" w:rsidP="00AC4B05">
      <w:pPr>
        <w:rPr>
          <w:sz w:val="28"/>
          <w:szCs w:val="28"/>
        </w:rPr>
      </w:pPr>
      <w:r w:rsidRPr="00FB7A0C">
        <w:rPr>
          <w:sz w:val="28"/>
          <w:szCs w:val="28"/>
        </w:rPr>
        <w:t xml:space="preserve">3. Взяти до уваги попередження про   притягнення до відповідальності, передбаченої Законом України «Про запобігання корупції» у випадках порушення вимог цього наказу. </w:t>
      </w:r>
    </w:p>
    <w:p w:rsidR="00AC4B05" w:rsidRPr="00FB7A0C" w:rsidRDefault="00AC4B05" w:rsidP="00AC4B05">
      <w:pPr>
        <w:ind w:firstLine="360"/>
        <w:rPr>
          <w:sz w:val="28"/>
          <w:szCs w:val="28"/>
        </w:rPr>
      </w:pPr>
      <w:r w:rsidRPr="00FB7A0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4. Контроль за виконанням даного наказу залишаю за собою.</w:t>
      </w:r>
    </w:p>
    <w:p w:rsidR="00AC4B05" w:rsidRPr="00FB7A0C" w:rsidRDefault="00AC4B05" w:rsidP="00AC4B05">
      <w:pPr>
        <w:ind w:firstLine="360"/>
        <w:rPr>
          <w:sz w:val="28"/>
          <w:szCs w:val="28"/>
        </w:rPr>
      </w:pPr>
    </w:p>
    <w:p w:rsidR="00FB7A0C" w:rsidRPr="00FB7A0C" w:rsidRDefault="00FB7A0C" w:rsidP="00FB7A0C">
      <w:pPr>
        <w:rPr>
          <w:sz w:val="28"/>
          <w:szCs w:val="28"/>
        </w:rPr>
      </w:pPr>
    </w:p>
    <w:p w:rsidR="00AC4B05" w:rsidRPr="00FB7A0C" w:rsidRDefault="00FB7A0C" w:rsidP="00AC4B05">
      <w:pPr>
        <w:rPr>
          <w:sz w:val="28"/>
          <w:szCs w:val="28"/>
        </w:rPr>
      </w:pPr>
      <w:r w:rsidRPr="00FB7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FB7A0C">
        <w:rPr>
          <w:sz w:val="28"/>
          <w:szCs w:val="28"/>
        </w:rPr>
        <w:t xml:space="preserve"> Директор НВК                                       </w:t>
      </w:r>
      <w:r w:rsidR="00AC4B05" w:rsidRPr="00FB7A0C">
        <w:rPr>
          <w:sz w:val="28"/>
          <w:szCs w:val="28"/>
        </w:rPr>
        <w:t xml:space="preserve">        </w:t>
      </w:r>
      <w:r w:rsidRPr="00FB7A0C">
        <w:rPr>
          <w:sz w:val="28"/>
          <w:szCs w:val="28"/>
        </w:rPr>
        <w:t>Л.Т.Бондар</w:t>
      </w:r>
    </w:p>
    <w:p w:rsidR="00AC4B05" w:rsidRPr="00FB7A0C" w:rsidRDefault="00AC4B05" w:rsidP="00AC4B05">
      <w:pPr>
        <w:jc w:val="both"/>
        <w:rPr>
          <w:sz w:val="28"/>
          <w:szCs w:val="28"/>
        </w:rPr>
      </w:pPr>
    </w:p>
    <w:p w:rsidR="00AC4B05" w:rsidRPr="00FB7A0C" w:rsidRDefault="00FB7A0C" w:rsidP="00AC4B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 наказом ознайомленні:</w:t>
      </w:r>
    </w:p>
    <w:p w:rsidR="009A75AC" w:rsidRPr="00FB7A0C" w:rsidRDefault="009A75AC">
      <w:pPr>
        <w:rPr>
          <w:sz w:val="28"/>
          <w:szCs w:val="28"/>
        </w:rPr>
      </w:pPr>
    </w:p>
    <w:sectPr w:rsidR="009A75AC" w:rsidRPr="00FB7A0C" w:rsidSect="0054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2D39"/>
    <w:multiLevelType w:val="hybridMultilevel"/>
    <w:tmpl w:val="AAE0E314"/>
    <w:lvl w:ilvl="0" w:tplc="046055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05"/>
    <w:rsid w:val="001F7A53"/>
    <w:rsid w:val="004E30BF"/>
    <w:rsid w:val="006256D4"/>
    <w:rsid w:val="008B6E5A"/>
    <w:rsid w:val="009A75AC"/>
    <w:rsid w:val="00AC4B05"/>
    <w:rsid w:val="00BC7737"/>
    <w:rsid w:val="00D62AE8"/>
    <w:rsid w:val="00FB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ADF2EA0-7B5F-4BC7-B882-CE9BA4F0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2019-03-25T08:25:00Z</dcterms:created>
  <dcterms:modified xsi:type="dcterms:W3CDTF">2019-04-05T07:31:00Z</dcterms:modified>
</cp:coreProperties>
</file>