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56" w:rsidRDefault="007B3456" w:rsidP="007B3456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</w:pPr>
    </w:p>
    <w:p w:rsidR="007B3456" w:rsidRPr="008118BA" w:rsidRDefault="007B3456" w:rsidP="007B3456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Pr="008118BA" w:rsidRDefault="007B3456" w:rsidP="007B345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Pr="008118BA" w:rsidRDefault="007B3456" w:rsidP="007B345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ПОРЯДОК</w:t>
      </w:r>
    </w:p>
    <w:p w:rsidR="007B3456" w:rsidRPr="008118BA" w:rsidRDefault="007B3456" w:rsidP="007B345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реагування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доведені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інгу</w:t>
      </w:r>
    </w:p>
    <w:p w:rsidR="007B3456" w:rsidRDefault="007B3456" w:rsidP="007B3456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 </w:t>
      </w:r>
      <w:proofErr w:type="spellStart"/>
      <w:r w:rsidR="00C97BFE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>Багатянському</w:t>
      </w:r>
      <w:proofErr w:type="spellEnd"/>
      <w:r w:rsidR="00C97BFE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  <w:t xml:space="preserve"> ЗЗСО</w:t>
      </w:r>
    </w:p>
    <w:p w:rsidR="007B3456" w:rsidRDefault="007B3456" w:rsidP="007B3456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RU"/>
        </w:rPr>
      </w:pPr>
    </w:p>
    <w:p w:rsidR="007B3456" w:rsidRPr="008118BA" w:rsidRDefault="007B3456" w:rsidP="007B345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Default="007B3456" w:rsidP="007B3456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І. 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Загальні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положення</w:t>
      </w:r>
      <w:proofErr w:type="spellEnd"/>
    </w:p>
    <w:p w:rsidR="007B3456" w:rsidRPr="008118BA" w:rsidRDefault="007B3456" w:rsidP="007B3456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Pr="008118BA" w:rsidRDefault="007B3456" w:rsidP="007B3456">
      <w:pPr>
        <w:spacing w:after="0" w:line="276" w:lineRule="auto"/>
        <w:ind w:hanging="360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Цей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Порядок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розроблено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Закону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«Про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внесення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змін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деяких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актів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щодо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протидії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інгу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цькуванню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)»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18.12.2018 №2657-УІІІ та з метою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визначення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процедури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реагуванн</w:t>
      </w:r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доведені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булінгу в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Багатянській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ЗОШ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 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забезпечення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гарантованого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вимог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чинного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законодавства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і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недопущення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порушень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сфері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7B3456" w:rsidRDefault="007B3456" w:rsidP="007B3456">
      <w:pPr>
        <w:spacing w:after="0" w:line="276" w:lineRule="auto"/>
        <w:ind w:hanging="360"/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Булінг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цькування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)-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діяння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полягають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психологічному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економічному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сексуальному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насильстві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у тому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числі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із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застосуванням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засобів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електронних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комунікацій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що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вчиняються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малолітньої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неповнолітньої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особи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такою особою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стосовно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інших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учасників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освітнього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процесу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внаслідок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могла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бути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заподіяна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шкода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психічному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або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фізичному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здоров’ю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потерпілого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7B3456" w:rsidRPr="008118BA" w:rsidRDefault="007B3456" w:rsidP="007B3456">
      <w:pPr>
        <w:spacing w:after="0" w:line="276" w:lineRule="auto"/>
        <w:ind w:hanging="360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Default="007B3456" w:rsidP="007B34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</w:pPr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ІІ. Порядок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реагування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на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доведенні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випадки</w:t>
      </w:r>
      <w:proofErr w:type="spell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RU"/>
        </w:rPr>
        <w:t>інгу</w:t>
      </w:r>
    </w:p>
    <w:p w:rsidR="007B3456" w:rsidRPr="008118BA" w:rsidRDefault="007B3456" w:rsidP="007B3456">
      <w:pPr>
        <w:spacing w:after="0" w:line="276" w:lineRule="auto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</w:p>
    <w:p w:rsidR="007B3456" w:rsidRPr="008118BA" w:rsidRDefault="007B3456" w:rsidP="00C97BFE">
      <w:pPr>
        <w:spacing w:after="0" w:line="276" w:lineRule="auto"/>
        <w:ind w:hanging="360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proofErr w:type="spellStart"/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ісля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отримання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булінгу в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закладі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протягом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одного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робочого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дня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створюється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комісія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для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проведення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розслідування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склад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якої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затверджується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наказом по закладу.</w:t>
      </w:r>
    </w:p>
    <w:p w:rsidR="007B3456" w:rsidRPr="008118BA" w:rsidRDefault="007B3456" w:rsidP="00C97BFE">
      <w:pPr>
        <w:spacing w:after="0" w:line="276" w:lineRule="auto"/>
        <w:ind w:hanging="360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Комісія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проводить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розслідування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протягом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трьох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робочих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днів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.</w:t>
      </w:r>
    </w:p>
    <w:p w:rsidR="007B3456" w:rsidRPr="008118BA" w:rsidRDefault="007B3456" w:rsidP="00C97BFE">
      <w:pPr>
        <w:spacing w:after="0" w:line="276" w:lineRule="auto"/>
        <w:ind w:hanging="360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За результатами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проведення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розслідування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проводиться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засідання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комісії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для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прийняття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рішення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оформлюється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протокольно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оригіналами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підписів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всіх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членів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комісії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)</w:t>
      </w:r>
    </w:p>
    <w:p w:rsidR="007B3456" w:rsidRPr="008118BA" w:rsidRDefault="007B3456" w:rsidP="00C97BFE">
      <w:pPr>
        <w:spacing w:after="0" w:line="276" w:lineRule="auto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рішенням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та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рекомендаціями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комісії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випадку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булінгу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під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підпис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ознайом</w:t>
      </w:r>
      <w:r w:rsidR="00C97BFE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люються</w:t>
      </w:r>
      <w:proofErr w:type="spellEnd"/>
      <w:r w:rsidR="00C97BFE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 xml:space="preserve"> </w:t>
      </w:r>
      <w:proofErr w:type="spellStart"/>
      <w:r w:rsidR="00C97BFE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їх</w:t>
      </w:r>
      <w:proofErr w:type="spellEnd"/>
      <w:r w:rsidR="00C97BFE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виконавці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RU"/>
        </w:rPr>
        <w:t>   та  фіксуються  в  журналі  реєстрації  рішень  комісії  з  булінгу</w:t>
      </w:r>
    </w:p>
    <w:p w:rsidR="007B3456" w:rsidRPr="008118BA" w:rsidRDefault="007B3456" w:rsidP="00C97BFE">
      <w:pPr>
        <w:spacing w:after="0" w:line="276" w:lineRule="auto"/>
        <w:ind w:hanging="360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eastAsia="ru-RU"/>
        </w:rPr>
      </w:pPr>
      <w:r w:rsidRPr="008118BA">
        <w:rPr>
          <w:rFonts w:ascii="Symbol" w:eastAsia="Times New Roman" w:hAnsi="Symbol" w:cs="Times New Roman"/>
          <w:color w:val="0A0B0B"/>
          <w:sz w:val="20"/>
          <w:szCs w:val="20"/>
          <w:lang w:eastAsia="ru-RU"/>
        </w:rPr>
        <w:t></w:t>
      </w:r>
      <w:r w:rsidRPr="008118BA">
        <w:rPr>
          <w:rFonts w:ascii="Times New Roman" w:eastAsia="Times New Roman" w:hAnsi="Times New Roman" w:cs="Times New Roman"/>
          <w:color w:val="0A0B0B"/>
          <w:sz w:val="14"/>
          <w:szCs w:val="14"/>
          <w:lang w:eastAsia="ru-RU"/>
        </w:rPr>
        <w:t>         </w:t>
      </w:r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результати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розгляду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заяви про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випадок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gram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бул</w:t>
      </w:r>
      <w:proofErr w:type="gram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інгу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повідомляють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заявника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Службу у справах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дітей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,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уповноважений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підрозділ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органу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Національної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поліції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України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(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ювенальну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 xml:space="preserve"> </w:t>
      </w:r>
      <w:proofErr w:type="spellStart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поліцію</w:t>
      </w:r>
      <w:proofErr w:type="spellEnd"/>
      <w:r w:rsidRPr="008118BA">
        <w:rPr>
          <w:rFonts w:ascii="Times New Roman" w:eastAsia="Times New Roman" w:hAnsi="Times New Roman" w:cs="Times New Roman"/>
          <w:color w:val="0A0B0B"/>
          <w:sz w:val="28"/>
          <w:szCs w:val="28"/>
          <w:lang w:eastAsia="ru-RU"/>
        </w:rPr>
        <w:t>).</w:t>
      </w:r>
    </w:p>
    <w:p w:rsidR="007B3456" w:rsidRDefault="007B3456" w:rsidP="00C97BFE">
      <w:pPr>
        <w:spacing w:line="276" w:lineRule="auto"/>
        <w:jc w:val="both"/>
      </w:pPr>
    </w:p>
    <w:p w:rsidR="002A18A1" w:rsidRDefault="002A18A1" w:rsidP="00C97BFE">
      <w:pPr>
        <w:jc w:val="both"/>
      </w:pPr>
    </w:p>
    <w:sectPr w:rsidR="002A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64"/>
    <w:rsid w:val="002A18A1"/>
    <w:rsid w:val="00332564"/>
    <w:rsid w:val="007B3456"/>
    <w:rsid w:val="00C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2022-01-31T11:11:00Z</dcterms:created>
  <dcterms:modified xsi:type="dcterms:W3CDTF">2022-09-23T10:49:00Z</dcterms:modified>
</cp:coreProperties>
</file>