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95" w:rsidRPr="001030EB" w:rsidRDefault="00646395" w:rsidP="006463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Актуальність даної проблеми підтверджена положеннями основних законодавчих актів України, зокрема: законів Укра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їни  «Про охорону дитинства»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«Про соціальну роботу 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сім’ями, дітьми та молоддю»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«Про протидію поширенню хвороб, зумовлених вірусом імунодефіциту людини (ВІЛ), та правовий і соціальний зах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ист людей, які живуть з ВІЛ»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«Про запобігання та про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тидію домашньому насильству»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«П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 захист суспільної моралі»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 «П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 протидію торгівлі людьми»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 «Про внесення змін до деяких законодавчих актів України щодо імплементації Конвенції Ради Європи про захист дітей від сексуальної експлуатації та сексуального насильства (Лансаротської конвенції)»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«Про соціальні послуги»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 «Про внесення змін до деяких законодавчих актів України щодо протидії розповсюдженню дитячої порнографії»,  «Про забезпечення рівних прав та мож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ливостей жінок і чоловіків»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«Про засади запобігання та протидії дискримінації в Україні»,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Кримінального кодексу України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03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Сімейний кодекс України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03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Концепція запобігання та викорененн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 найгірших форм праці дітей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Особливе значення для дослідження означеної проблеми має зміст основних міжнародних та державних документів у сфері протидії торгівлі людьми та захисту прав дітей, а саме: Протокол про попередження і припинення торгівлі людьми, особливо жінками і дітьми, і покарання за неї (доповнює Конвенцію ООН проти транснаціонально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 організованої злочинності)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Факультативний протокол до Конвенції ООН про права дитини щодо торгівлі дітьми, дитячої прост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итуції і дитячої порнографії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Конвенція про заборону та негайні заходи щодо ліквідації найгір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ших форм дитячої праці № 182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Конвенція Ради Європи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протидію торгівлі людьми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  <w:bookmarkStart w:id="0" w:name="n3"/>
      <w:bookmarkEnd w:id="0"/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Керівні принципи ООН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 правосуддя у питаннях, повʹ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язаних із участі дітей-жертв 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свідків злочинів (2005 року)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Конвенція Ради Європи про захист дітей від сексуальної експлуатації та сексуального насильства  №201, 2007 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оку (ратифікована 2012 року)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Конвенція ООН з прав дит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ини (ратифікована 1991 року)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Всесвітня декларація про забезпечення виживання, захисту та розвитку дітей</w:t>
      </w:r>
      <w:r w:rsidRPr="00103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Конвенція про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контакт з дітьми (ETS № 192)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 Європейська конвенц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ія про здійснення прав дітей</w:t>
      </w:r>
      <w:r w:rsidRPr="00FF1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03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30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Декларація про запобігання та зупинення сексуальної екс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плуатації дітей та підлітків.</w:t>
      </w:r>
    </w:p>
    <w:p w:rsidR="00646395" w:rsidRDefault="00646395">
      <w:pPr>
        <w:rPr>
          <w:lang w:val="uk-UA"/>
        </w:rPr>
      </w:pPr>
    </w:p>
    <w:p w:rsidR="00646395" w:rsidRDefault="00646395">
      <w:pPr>
        <w:rPr>
          <w:lang w:val="uk-UA"/>
        </w:rPr>
      </w:pPr>
    </w:p>
    <w:p w:rsidR="00646395" w:rsidRDefault="00646395">
      <w:pPr>
        <w:rPr>
          <w:lang w:val="uk-UA"/>
        </w:rPr>
      </w:pPr>
    </w:p>
    <w:p w:rsidR="00646395" w:rsidRDefault="00646395">
      <w:pPr>
        <w:rPr>
          <w:lang w:val="uk-UA"/>
        </w:rPr>
      </w:pPr>
    </w:p>
    <w:p w:rsidR="00646395" w:rsidRDefault="00646395">
      <w:pPr>
        <w:rPr>
          <w:lang w:val="uk-UA"/>
        </w:rPr>
      </w:pPr>
    </w:p>
    <w:p w:rsidR="00646395" w:rsidRDefault="00646395">
      <w:pPr>
        <w:rPr>
          <w:lang w:val="uk-UA"/>
        </w:rPr>
      </w:pPr>
    </w:p>
    <w:p w:rsidR="007B2209" w:rsidRDefault="00646395" w:rsidP="006463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3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Національне законодавство</w:t>
      </w:r>
    </w:p>
    <w:p w:rsidR="00646395" w:rsidRPr="00646395" w:rsidRDefault="00646395" w:rsidP="00646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395">
        <w:rPr>
          <w:rFonts w:ascii="Times New Roman" w:hAnsi="Times New Roman" w:cs="Times New Roman"/>
          <w:sz w:val="28"/>
          <w:szCs w:val="28"/>
          <w:lang w:val="uk-UA"/>
        </w:rPr>
        <w:t>Закон України «Про протидію торгівлі людьми» (2011)</w:t>
      </w:r>
    </w:p>
    <w:p w:rsidR="00646395" w:rsidRPr="00646395" w:rsidRDefault="00646395" w:rsidP="00646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395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(Стаття 149. Торгівля людьми)</w:t>
      </w:r>
    </w:p>
    <w:p w:rsidR="00646395" w:rsidRPr="00646395" w:rsidRDefault="00646395" w:rsidP="00646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395">
        <w:rPr>
          <w:rFonts w:ascii="Times New Roman" w:hAnsi="Times New Roman" w:cs="Times New Roman"/>
          <w:sz w:val="28"/>
          <w:szCs w:val="28"/>
          <w:lang w:val="uk-UA"/>
        </w:rPr>
        <w:t>Концепція Державної цільової соціальної програми протидії торгівлі людьми на період до 2025 року</w:t>
      </w:r>
    </w:p>
    <w:p w:rsidR="00646395" w:rsidRPr="00646395" w:rsidRDefault="00646395" w:rsidP="00646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395">
        <w:rPr>
          <w:rFonts w:ascii="Times New Roman" w:hAnsi="Times New Roman" w:cs="Times New Roman"/>
          <w:sz w:val="28"/>
          <w:szCs w:val="28"/>
          <w:lang w:val="uk-UA"/>
        </w:rPr>
        <w:t>Порядок взаємодії суб’єктів, які здійснюють заходи у сфері протидії торгівлі людьми (2012)</w:t>
      </w:r>
    </w:p>
    <w:p w:rsidR="00646395" w:rsidRPr="00646395" w:rsidRDefault="00646395" w:rsidP="00646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395">
        <w:rPr>
          <w:rFonts w:ascii="Times New Roman" w:hAnsi="Times New Roman" w:cs="Times New Roman"/>
          <w:sz w:val="28"/>
          <w:szCs w:val="28"/>
          <w:lang w:val="uk-UA"/>
        </w:rPr>
        <w:t>Порядок встановлення статусу особи, яка постраждала від торгівлі людьми (2012)</w:t>
      </w:r>
    </w:p>
    <w:p w:rsidR="00646395" w:rsidRDefault="00646395" w:rsidP="00646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395">
        <w:rPr>
          <w:rFonts w:ascii="Times New Roman" w:hAnsi="Times New Roman" w:cs="Times New Roman"/>
          <w:sz w:val="28"/>
          <w:szCs w:val="28"/>
          <w:lang w:val="uk-UA"/>
        </w:rPr>
        <w:t>та інші</w:t>
      </w:r>
    </w:p>
    <w:p w:rsidR="00646395" w:rsidRPr="00646395" w:rsidRDefault="00646395" w:rsidP="00646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r w:rsidRPr="00646395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505CE4B8" wp14:editId="3E88473D">
            <wp:extent cx="6019800" cy="505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54" r="12293"/>
                    <a:stretch/>
                  </pic:blipFill>
                  <pic:spPr bwMode="auto">
                    <a:xfrm>
                      <a:off x="0" y="0"/>
                      <a:ext cx="601980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646395" w:rsidRPr="0064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7"/>
    <w:rsid w:val="001504D7"/>
    <w:rsid w:val="00646395"/>
    <w:rsid w:val="007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588"/>
  <w15:chartTrackingRefBased/>
  <w15:docId w15:val="{80A2DE69-A2E0-4821-A84D-1A62061A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</cp:revision>
  <dcterms:created xsi:type="dcterms:W3CDTF">2022-06-30T06:02:00Z</dcterms:created>
  <dcterms:modified xsi:type="dcterms:W3CDTF">2022-06-30T06:08:00Z</dcterms:modified>
</cp:coreProperties>
</file>