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9.0 -->
  <w:body>
    <w:p w:rsidR="00A77B3E">
      <w:pPr>
        <w:sectPr>
          <w:pgSz w:w="9360" w:h="12883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943600" cy="818119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022">
      <w:pPr>
        <w:suppressAutoHyphens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2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2"/>
          <w:szCs w:val="28"/>
          <w:lang w:val="uk-UA" w:eastAsia="uk-UA" w:bidi="ar-SA"/>
        </w:rPr>
        <w:t>ЗАТВЕРДЖЕНО</w:t>
      </w:r>
    </w:p>
    <w:p w:rsidR="00DE6022">
      <w:pPr>
        <w:suppressAutoHyphens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2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Cs/>
          <w:color w:val="333333"/>
          <w:sz w:val="22"/>
          <w:szCs w:val="28"/>
          <w:lang w:val="uk-UA" w:eastAsia="uk-UA" w:bidi="ar-SA"/>
        </w:rPr>
        <w:t xml:space="preserve">Директор </w:t>
      </w:r>
      <w:r>
        <w:rPr>
          <w:rFonts w:ascii="Times New Roman" w:eastAsia="Times New Roman" w:hAnsi="Times New Roman" w:cs="Times New Roman"/>
          <w:bCs/>
          <w:color w:val="333333"/>
          <w:sz w:val="22"/>
          <w:szCs w:val="28"/>
          <w:lang w:val="uk-UA" w:eastAsia="uk-UA" w:bidi="ar-SA"/>
        </w:rPr>
        <w:t>Городненської</w:t>
      </w:r>
      <w:r>
        <w:rPr>
          <w:rFonts w:ascii="Times New Roman" w:eastAsia="Times New Roman" w:hAnsi="Times New Roman" w:cs="Times New Roman"/>
          <w:bCs/>
          <w:color w:val="333333"/>
          <w:sz w:val="22"/>
          <w:szCs w:val="28"/>
          <w:lang w:val="uk-UA" w:eastAsia="uk-UA" w:bidi="ar-SA"/>
        </w:rPr>
        <w:t xml:space="preserve"> гімназії</w:t>
      </w:r>
    </w:p>
    <w:p w:rsidR="00DE6022">
      <w:pPr>
        <w:suppressAutoHyphens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2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Cs/>
          <w:color w:val="333333"/>
          <w:sz w:val="22"/>
          <w:szCs w:val="28"/>
          <w:lang w:val="uk-UA" w:eastAsia="uk-UA" w:bidi="ar-SA"/>
        </w:rPr>
        <w:t>__________        Марія Гусар</w:t>
      </w:r>
    </w:p>
    <w:p w:rsidR="00DE6022">
      <w:pPr>
        <w:suppressAutoHyphens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2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Cs/>
          <w:color w:val="333333"/>
          <w:sz w:val="22"/>
          <w:szCs w:val="28"/>
          <w:lang w:val="uk-UA" w:eastAsia="uk-UA" w:bidi="ar-SA"/>
        </w:rPr>
        <w:t>Наказ</w:t>
      </w:r>
      <w:r>
        <w:rPr>
          <w:rFonts w:ascii="Times New Roman" w:eastAsia="Times New Roman" w:hAnsi="Times New Roman" w:cs="Times New Roman"/>
          <w:bCs/>
          <w:color w:val="333333"/>
          <w:sz w:val="22"/>
          <w:szCs w:val="28"/>
          <w:lang w:val="uk-UA" w:eastAsia="uk-UA" w:bidi="ar-SA"/>
        </w:rPr>
        <w:t xml:space="preserve"> ____ </w:t>
      </w:r>
      <w:r>
        <w:rPr>
          <w:rFonts w:ascii="Times New Roman" w:eastAsia="Times New Roman" w:hAnsi="Times New Roman" w:cs="Times New Roman"/>
          <w:bCs/>
          <w:color w:val="333333"/>
          <w:sz w:val="22"/>
          <w:szCs w:val="28"/>
          <w:lang w:val="uk-UA" w:eastAsia="uk-UA" w:bidi="ar-SA"/>
        </w:rPr>
        <w:t>від ___________</w:t>
      </w:r>
      <w:r>
        <w:rPr>
          <w:rFonts w:ascii="Times New Roman" w:eastAsia="Times New Roman" w:hAnsi="Times New Roman" w:cs="Times New Roman"/>
          <w:bCs/>
          <w:color w:val="333333"/>
          <w:sz w:val="22"/>
          <w:szCs w:val="28"/>
          <w:u w:val="single"/>
          <w:lang w:val="uk-UA" w:eastAsia="uk-UA" w:bidi="ar-SA"/>
        </w:rPr>
        <w:t xml:space="preserve"> р</w:t>
      </w:r>
      <w:r>
        <w:rPr>
          <w:rFonts w:ascii="Times New Roman" w:eastAsia="Times New Roman" w:hAnsi="Times New Roman" w:cs="Times New Roman"/>
          <w:bCs/>
          <w:color w:val="333333"/>
          <w:sz w:val="22"/>
          <w:szCs w:val="28"/>
          <w:lang w:val="uk-UA" w:eastAsia="uk-UA" w:bidi="ar-SA"/>
        </w:rPr>
        <w:t>.</w:t>
      </w:r>
    </w:p>
    <w:p w:rsidR="00DE6022">
      <w:pPr>
        <w:suppressAutoHyphens/>
        <w:spacing w:after="150" w:line="240" w:lineRule="auto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val="uk-UA" w:eastAsia="uk-UA" w:bidi="ar-SA"/>
        </w:rPr>
      </w:pPr>
    </w:p>
    <w:p w:rsidR="00DE6022">
      <w:pPr>
        <w:suppressAutoHyphens/>
        <w:spacing w:after="150" w:line="240" w:lineRule="auto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val="uk-UA" w:eastAsia="uk-UA" w:bidi="ar-SA"/>
        </w:rPr>
      </w:pPr>
    </w:p>
    <w:p w:rsidR="00DE6022">
      <w:pPr>
        <w:suppressAutoHyphens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val="uk-UA" w:eastAsia="uk-UA" w:bidi="ar-SA"/>
        </w:rPr>
      </w:pPr>
    </w:p>
    <w:p w:rsidR="00DE6022">
      <w:pPr>
        <w:suppressAutoHyphens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val="uk-UA" w:eastAsia="uk-UA" w:bidi="ar-SA"/>
        </w:rPr>
      </w:pPr>
    </w:p>
    <w:p w:rsidR="00DE6022">
      <w:pPr>
        <w:suppressAutoHyphens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52"/>
          <w:szCs w:val="52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val="uk-UA" w:eastAsia="uk-UA" w:bidi="ar-SA"/>
        </w:rPr>
        <w:t>Положення</w:t>
      </w:r>
    </w:p>
    <w:p w:rsidR="00DE6022">
      <w:pPr>
        <w:suppressAutoHyphens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val="uk-UA" w:eastAsia="uk-UA" w:bidi="ar-SA"/>
        </w:rPr>
        <w:t xml:space="preserve">про внутрішню систему забезпечення якості освіти </w:t>
      </w:r>
    </w:p>
    <w:p w:rsidR="00DE6022">
      <w:pPr>
        <w:suppressAutoHyphens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val="uk-UA" w:eastAsia="uk-UA" w:bidi="ar-SA"/>
        </w:rPr>
        <w:t xml:space="preserve"> Горо</w:t>
      </w:r>
      <w:r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val="ru-RU" w:eastAsia="uk-UA" w:bidi="ar-SA"/>
        </w:rPr>
        <w:t>дненсько</w:t>
      </w:r>
      <w:r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val="uk-UA" w:eastAsia="uk-UA" w:bidi="ar-SA"/>
        </w:rPr>
        <w:t>ї гімназії</w:t>
      </w:r>
    </w:p>
    <w:p w:rsidR="00DE6022">
      <w:pPr>
        <w:suppressAutoHyphens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val="uk-UA" w:eastAsia="uk-UA" w:bidi="ar-SA"/>
        </w:rPr>
        <w:t>Любомльської</w:t>
      </w:r>
      <w:r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val="uk-UA" w:eastAsia="uk-UA" w:bidi="ar-SA"/>
        </w:rPr>
        <w:t xml:space="preserve"> міської ради</w:t>
      </w:r>
    </w:p>
    <w:p w:rsidR="00DE6022">
      <w:pPr>
        <w:suppressAutoHyphens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val="uk-UA" w:eastAsia="uk-UA" w:bidi="ar-SA"/>
        </w:rPr>
        <w:t>Ковельського району</w:t>
      </w:r>
    </w:p>
    <w:p w:rsidR="00DE6022">
      <w:pPr>
        <w:suppressAutoHyphens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val="uk-UA" w:eastAsia="uk-UA" w:bidi="ar-SA"/>
        </w:rPr>
        <w:t>Волинської області</w:t>
      </w:r>
    </w:p>
    <w:p w:rsidR="00DE6022">
      <w:pPr>
        <w:suppressAutoHyphens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val="uk-UA" w:eastAsia="uk-UA" w:bidi="ar-SA"/>
        </w:rPr>
      </w:pPr>
    </w:p>
    <w:p w:rsidR="00DE6022">
      <w:pPr>
        <w:suppressAutoHyphens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val="uk-UA" w:eastAsia="uk-UA" w:bidi="ar-SA"/>
        </w:rPr>
      </w:pPr>
    </w:p>
    <w:p w:rsidR="00DE6022">
      <w:pPr>
        <w:suppressAutoHyphens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2"/>
          <w:szCs w:val="22"/>
          <w:lang w:val="uk-UA" w:eastAsia="uk-UA" w:bidi="ar-SA"/>
        </w:rPr>
      </w:pPr>
    </w:p>
    <w:p w:rsidR="00DE6022">
      <w:pPr>
        <w:suppressAutoHyphens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2"/>
          <w:szCs w:val="22"/>
          <w:lang w:val="uk-UA" w:eastAsia="uk-UA" w:bidi="ar-SA"/>
        </w:rPr>
      </w:pPr>
    </w:p>
    <w:p w:rsidR="00DE6022">
      <w:pPr>
        <w:suppressAutoHyphens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2"/>
          <w:szCs w:val="22"/>
          <w:lang w:val="uk-UA" w:eastAsia="uk-UA" w:bidi="ar-SA"/>
        </w:rPr>
      </w:pPr>
    </w:p>
    <w:p w:rsidR="00DE6022">
      <w:pPr>
        <w:suppressAutoHyphens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2"/>
          <w:szCs w:val="22"/>
          <w:lang w:val="uk-UA" w:eastAsia="uk-UA" w:bidi="ar-SA"/>
        </w:rPr>
      </w:pPr>
    </w:p>
    <w:p w:rsidR="00DE6022">
      <w:pPr>
        <w:suppressAutoHyphens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2"/>
          <w:szCs w:val="22"/>
          <w:lang w:val="uk-UA" w:eastAsia="uk-UA" w:bidi="ar-SA"/>
        </w:rPr>
      </w:pPr>
    </w:p>
    <w:p w:rsidR="00DE6022">
      <w:pPr>
        <w:suppressAutoHyphens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2"/>
          <w:szCs w:val="22"/>
          <w:lang w:val="uk-UA" w:eastAsia="uk-UA" w:bidi="ar-SA"/>
        </w:rPr>
      </w:pPr>
    </w:p>
    <w:p w:rsidR="00DE6022">
      <w:pPr>
        <w:suppressAutoHyphens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2"/>
          <w:szCs w:val="22"/>
          <w:lang w:val="uk-UA" w:eastAsia="uk-UA" w:bidi="ar-SA"/>
        </w:rPr>
      </w:pPr>
      <w:r>
        <w:rPr>
          <w:rFonts w:ascii="Times New Roman" w:eastAsia="Times New Roman" w:hAnsi="Times New Roman" w:cs="Times New Roman"/>
          <w:bCs/>
          <w:color w:val="333333"/>
          <w:sz w:val="22"/>
          <w:szCs w:val="22"/>
          <w:lang w:val="uk-UA" w:eastAsia="uk-UA" w:bidi="ar-SA"/>
        </w:rPr>
        <w:t>СХВАЛЕНО</w:t>
      </w:r>
    </w:p>
    <w:p w:rsidR="00DE6022">
      <w:pPr>
        <w:suppressAutoHyphens/>
        <w:spacing w:line="360" w:lineRule="auto"/>
        <w:rPr>
          <w:rFonts w:ascii="Times New Roman" w:eastAsia="Calibri" w:hAnsi="Times New Roman" w:cs="Times New Roman"/>
          <w:sz w:val="22"/>
          <w:szCs w:val="22"/>
          <w:lang w:val="uk-UA" w:eastAsia="uk-UA" w:bidi="ar-SA"/>
        </w:rPr>
      </w:pPr>
      <w:r>
        <w:rPr>
          <w:rFonts w:ascii="Times New Roman" w:eastAsia="Calibri" w:hAnsi="Times New Roman" w:cs="Times New Roman"/>
          <w:sz w:val="22"/>
          <w:szCs w:val="22"/>
          <w:lang w:val="uk-UA" w:eastAsia="uk-UA" w:bidi="ar-SA"/>
        </w:rPr>
        <w:t>Педагогічною радою</w:t>
      </w:r>
    </w:p>
    <w:p w:rsidR="00DE6022">
      <w:pPr>
        <w:suppressAutoHyphens/>
        <w:spacing w:line="360" w:lineRule="auto"/>
        <w:rPr>
          <w:rFonts w:ascii="Times New Roman" w:eastAsia="Calibri" w:hAnsi="Times New Roman" w:cs="Times New Roman"/>
          <w:sz w:val="22"/>
          <w:szCs w:val="22"/>
          <w:lang w:val="uk-UA" w:eastAsia="uk-UA" w:bidi="ar-SA"/>
        </w:rPr>
      </w:pPr>
      <w:r>
        <w:rPr>
          <w:rFonts w:ascii="Times New Roman" w:eastAsia="Calibri" w:hAnsi="Times New Roman" w:cs="Times New Roman"/>
          <w:sz w:val="22"/>
          <w:szCs w:val="22"/>
          <w:lang w:val="uk-UA" w:eastAsia="uk-UA" w:bidi="ar-SA"/>
        </w:rPr>
        <w:t>Городненської</w:t>
      </w:r>
      <w:r>
        <w:rPr>
          <w:rFonts w:ascii="Times New Roman" w:eastAsia="Calibri" w:hAnsi="Times New Roman" w:cs="Times New Roman"/>
          <w:sz w:val="22"/>
          <w:szCs w:val="22"/>
          <w:lang w:val="uk-UA" w:eastAsia="uk-UA" w:bidi="ar-SA"/>
        </w:rPr>
        <w:t xml:space="preserve"> гімназії</w:t>
      </w:r>
    </w:p>
    <w:p w:rsidR="00DE6022">
      <w:pPr>
        <w:suppressAutoHyphens/>
        <w:spacing w:line="360" w:lineRule="auto"/>
        <w:rPr>
          <w:rFonts w:ascii="Times New Roman" w:eastAsia="Calibri" w:hAnsi="Times New Roman" w:cs="Times New Roman"/>
          <w:sz w:val="22"/>
          <w:szCs w:val="22"/>
          <w:lang w:val="uk-UA" w:eastAsia="uk-UA" w:bidi="ar-SA"/>
        </w:rPr>
      </w:pPr>
      <w:r>
        <w:rPr>
          <w:rFonts w:ascii="Times New Roman" w:eastAsia="Calibri" w:hAnsi="Times New Roman" w:cs="Times New Roman"/>
          <w:sz w:val="22"/>
          <w:szCs w:val="22"/>
          <w:lang w:val="uk-UA" w:eastAsia="uk-UA" w:bidi="ar-SA"/>
        </w:rPr>
        <w:t>Ковельського району</w:t>
      </w:r>
    </w:p>
    <w:p w:rsidR="00DE6022">
      <w:pPr>
        <w:suppressAutoHyphens/>
        <w:spacing w:line="360" w:lineRule="auto"/>
        <w:rPr>
          <w:rFonts w:ascii="Times New Roman" w:eastAsia="Calibri" w:hAnsi="Times New Roman" w:cs="Times New Roman"/>
          <w:sz w:val="22"/>
          <w:szCs w:val="22"/>
          <w:lang w:val="uk-UA" w:eastAsia="uk-UA" w:bidi="ar-SA"/>
        </w:rPr>
      </w:pPr>
      <w:r>
        <w:rPr>
          <w:rFonts w:ascii="Times New Roman" w:eastAsia="Calibri" w:hAnsi="Times New Roman" w:cs="Times New Roman"/>
          <w:sz w:val="22"/>
          <w:szCs w:val="22"/>
          <w:lang w:val="uk-UA" w:eastAsia="uk-UA" w:bidi="ar-SA"/>
        </w:rPr>
        <w:t>Волинської області</w:t>
      </w:r>
    </w:p>
    <w:p w:rsidR="00DE6022">
      <w:pPr>
        <w:suppressAutoHyphens/>
        <w:spacing w:line="360" w:lineRule="auto"/>
        <w:rPr>
          <w:rFonts w:ascii="Calibri" w:eastAsia="Calibri" w:hAnsi="Calibri" w:cs="Times New Roman"/>
          <w:sz w:val="22"/>
          <w:szCs w:val="22"/>
          <w:u w:val="single"/>
          <w:lang w:val="uk-UA" w:eastAsia="uk-UA" w:bidi="ar-SA"/>
        </w:rPr>
      </w:pPr>
      <w:r>
        <w:rPr>
          <w:rFonts w:ascii="Times New Roman" w:eastAsia="Calibri" w:hAnsi="Times New Roman" w:cs="Times New Roman"/>
          <w:sz w:val="22"/>
          <w:szCs w:val="22"/>
          <w:lang w:val="uk-UA" w:eastAsia="uk-UA" w:bidi="ar-SA"/>
        </w:rPr>
        <w:t xml:space="preserve">Протокол  </w:t>
      </w:r>
      <w:r>
        <w:rPr>
          <w:rFonts w:ascii="Times New Roman" w:eastAsia="Calibri" w:hAnsi="Times New Roman" w:cs="Times New Roman"/>
          <w:sz w:val="22"/>
          <w:szCs w:val="22"/>
          <w:u w:val="single"/>
          <w:lang w:val="uk-UA" w:eastAsia="uk-UA" w:bidi="ar-SA"/>
        </w:rPr>
        <w:t>№2</w:t>
      </w:r>
      <w:r>
        <w:rPr>
          <w:rFonts w:ascii="Times New Roman" w:eastAsia="Calibri" w:hAnsi="Times New Roman" w:cs="Times New Roman"/>
          <w:sz w:val="22"/>
          <w:szCs w:val="22"/>
          <w:lang w:val="uk-UA" w:eastAsia="uk-UA" w:bidi="ar-SA"/>
        </w:rPr>
        <w:t xml:space="preserve"> від  </w:t>
      </w:r>
      <w:r>
        <w:rPr>
          <w:rFonts w:ascii="Times New Roman" w:eastAsia="Calibri" w:hAnsi="Times New Roman" w:cs="Times New Roman"/>
          <w:sz w:val="22"/>
          <w:szCs w:val="22"/>
          <w:u w:val="single"/>
          <w:lang w:val="uk-UA" w:eastAsia="uk-UA" w:bidi="ar-SA"/>
        </w:rPr>
        <w:t>31.08.2023</w:t>
      </w:r>
      <w:bookmarkStart w:id="0" w:name="_GoBack"/>
      <w:bookmarkEnd w:id="0"/>
      <w:r>
        <w:rPr>
          <w:rFonts w:ascii="Times New Roman" w:eastAsia="Calibri" w:hAnsi="Times New Roman" w:cs="Times New Roman"/>
          <w:sz w:val="22"/>
          <w:szCs w:val="22"/>
          <w:u w:val="single"/>
          <w:lang w:val="uk-UA" w:eastAsia="uk-UA" w:bidi="ar-SA"/>
        </w:rPr>
        <w:t xml:space="preserve"> р.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І. Загальні положення</w:t>
      </w:r>
    </w:p>
    <w:p w:rsidR="00DE6022">
      <w:pPr>
        <w:suppressAutoHyphens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Дане положення про внутрішню систему забезпечення якості освітньої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діяльності та якості освіти 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Городненській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гімназії (ВСЗЯО ) розроблено відповідно до Законів України «Про освіту»; «Про загальну середню освіту»; розпорядження Кабінету Міністрів України від 14 грудня 2016 р. № 988-р «Про схвалення Концепції реалізації 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ержавної політики у сфері реформування загальної середньої освіти «Нова українська школа» на період до 2029 року»; ДСТУ ISO 9001:2015 Системи управління якістю. Вимоги; ДСТУ ISO 9000:2015 Системи управління якістю. Основні положення та словник термінів; 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казу Міністерства освіти і науки України від 09.01.2019 № 17 «Про затвердження Порядку проведення інституційного аудиту закладів загальної середньої освіти» та затверджено  педагогічною радою гімназії (протокол №4 від 11.01.2019р)</w:t>
      </w:r>
    </w:p>
    <w:p w:rsidR="00DE6022">
      <w:pPr>
        <w:suppressAutoHyphens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У процесі розроблення  по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ложення про ВСЗЯО враховувалися «Рекомендації до побудови внутрішньої системи забезпечення якості освіти у закладі загальної середньої освіти» (Бобровський М. В., Горбачов С. І.,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Заплотинська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 О. О.).</w:t>
      </w:r>
    </w:p>
    <w:p w:rsidR="00DE6022">
      <w:pPr>
        <w:suppressAutoHyphens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Внутрішня система забезпечення якості освіти у гімназії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розбудовується на виконання статті 41 Закону України «Про освіту» для спрямування та контролю діяльності закладу щодо забезпечення якості освіти.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Процес створення та реалізації внутрішньої системи забезпечення якості освіти базується на таких принципах:</w:t>
      </w:r>
    </w:p>
    <w:p w:rsidR="00DE6022">
      <w:pPr>
        <w:numPr>
          <w:ilvl w:val="0"/>
          <w:numId w:val="1"/>
        </w:numPr>
        <w:tabs>
          <w:tab w:val="num" w:pos="720"/>
        </w:tabs>
        <w:suppressAutoHyphens/>
        <w:spacing w:beforeAutospacing="1"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ав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тономія закладу освіти;</w:t>
      </w:r>
    </w:p>
    <w:p w:rsidR="00DE6022">
      <w:pPr>
        <w:numPr>
          <w:ilvl w:val="0"/>
          <w:numId w:val="1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академічна доброчесність;</w:t>
      </w:r>
    </w:p>
    <w:p w:rsidR="00DE6022">
      <w:pPr>
        <w:numPr>
          <w:ilvl w:val="0"/>
          <w:numId w:val="1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академічна свобода;</w:t>
      </w:r>
    </w:p>
    <w:p w:rsidR="00DE6022">
      <w:pPr>
        <w:numPr>
          <w:ilvl w:val="0"/>
          <w:numId w:val="1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гнучкість і адаптивність системи освітньої діяльності;</w:t>
      </w:r>
    </w:p>
    <w:p w:rsidR="00DE6022">
      <w:pPr>
        <w:numPr>
          <w:ilvl w:val="0"/>
          <w:numId w:val="1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гуманізм;</w:t>
      </w:r>
    </w:p>
    <w:p w:rsidR="00DE6022">
      <w:pPr>
        <w:numPr>
          <w:ilvl w:val="0"/>
          <w:numId w:val="1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забезпечення якості освіти та якості освітньої діяльності;</w:t>
      </w:r>
    </w:p>
    <w:p w:rsidR="00DE6022">
      <w:pPr>
        <w:numPr>
          <w:ilvl w:val="0"/>
          <w:numId w:val="1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забезпечення рівного доступу до освіти без дискримінації за бу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дь-якими ознаками, у тому числі за ознакою інвалідності;</w:t>
      </w:r>
    </w:p>
    <w:p w:rsidR="00DE6022">
      <w:pPr>
        <w:numPr>
          <w:ilvl w:val="0"/>
          <w:numId w:val="1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демократизм;</w:t>
      </w:r>
    </w:p>
    <w:p w:rsidR="00DE6022">
      <w:pPr>
        <w:numPr>
          <w:ilvl w:val="0"/>
          <w:numId w:val="1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державно-громадське управління;</w:t>
      </w:r>
    </w:p>
    <w:p w:rsidR="00DE6022">
      <w:pPr>
        <w:numPr>
          <w:ilvl w:val="0"/>
          <w:numId w:val="1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доступність для кожного громадянина всіх форм і типів освітніх послуг, що надаються державою;</w:t>
      </w:r>
    </w:p>
    <w:p w:rsidR="00DE6022">
      <w:pPr>
        <w:numPr>
          <w:ilvl w:val="0"/>
          <w:numId w:val="1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людиноцентризм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дитиноцентризм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;</w:t>
      </w:r>
    </w:p>
    <w:p w:rsidR="00DE6022">
      <w:pPr>
        <w:numPr>
          <w:ilvl w:val="0"/>
          <w:numId w:val="1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постійне вдосконалення освіт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ньої діяльності;</w:t>
      </w:r>
    </w:p>
    <w:p w:rsidR="00DE6022">
      <w:pPr>
        <w:numPr>
          <w:ilvl w:val="0"/>
          <w:numId w:val="1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свобода у виборі видів, форм і темпу здобуття освіти, освітньої програми, закладу освіти, інших суб’єктів освітньої діяльності;</w:t>
      </w:r>
    </w:p>
    <w:p w:rsidR="00DE6022">
      <w:pPr>
        <w:numPr>
          <w:ilvl w:val="0"/>
          <w:numId w:val="1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урахування впливу зовнішніх чинників;</w:t>
      </w:r>
    </w:p>
    <w:p w:rsidR="00DE6022">
      <w:pPr>
        <w:numPr>
          <w:ilvl w:val="0"/>
          <w:numId w:val="1"/>
        </w:numPr>
        <w:tabs>
          <w:tab w:val="num" w:pos="720"/>
        </w:tabs>
        <w:suppressAutoHyphens/>
        <w:spacing w:after="2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цілісність системи управління якістю освіти.</w:t>
      </w:r>
    </w:p>
    <w:p w:rsidR="00DE6022">
      <w:pPr>
        <w:suppressAutoHyphens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Метою розбудови та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функціонування внутрішньої системи забезпечення якості освіти в гімназії є:</w:t>
      </w:r>
    </w:p>
    <w:p w:rsidR="00DE6022">
      <w:pPr>
        <w:numPr>
          <w:ilvl w:val="0"/>
          <w:numId w:val="2"/>
        </w:numPr>
        <w:tabs>
          <w:tab w:val="num" w:pos="720"/>
        </w:tabs>
        <w:suppressAutoHyphens/>
        <w:spacing w:beforeAutospacing="1"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гарантування якості освіти;</w:t>
      </w:r>
    </w:p>
    <w:p w:rsidR="00DE6022">
      <w:pPr>
        <w:numPr>
          <w:ilvl w:val="0"/>
          <w:numId w:val="2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формування довіри громади до закладу освіти;</w:t>
      </w:r>
    </w:p>
    <w:p w:rsidR="00DE6022">
      <w:pPr>
        <w:numPr>
          <w:ilvl w:val="0"/>
          <w:numId w:val="2"/>
        </w:numPr>
        <w:tabs>
          <w:tab w:val="num" w:pos="720"/>
        </w:tabs>
        <w:suppressAutoHyphens/>
        <w:spacing w:after="2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постійне та послідовне підвищення якості освіти.</w:t>
      </w:r>
    </w:p>
    <w:p w:rsidR="00DE6022">
      <w:pPr>
        <w:suppressAutoHyphens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Відповідальність за впровадження ВСЗЯО в гімназії покладає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ться на директора гімназії.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ІІ. Структура внутрішньої системи забезпечення якості освіти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Складовими системи забезпечення якості освіти в гімназії є:</w:t>
      </w:r>
    </w:p>
    <w:p w:rsidR="00DE6022">
      <w:pPr>
        <w:numPr>
          <w:ilvl w:val="0"/>
          <w:numId w:val="3"/>
        </w:numPr>
        <w:tabs>
          <w:tab w:val="num" w:pos="720"/>
        </w:tabs>
        <w:suppressAutoHyphens/>
        <w:spacing w:beforeAutospacing="1"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політика та процедури внутрішньої системи забезпечення якості освіти;</w:t>
      </w:r>
    </w:p>
    <w:p w:rsidR="00DE6022">
      <w:pPr>
        <w:numPr>
          <w:ilvl w:val="0"/>
          <w:numId w:val="3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система та механізми забезпечення ака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демічної доброчесності в закладі освіти;</w:t>
      </w:r>
    </w:p>
    <w:p w:rsidR="00DE6022">
      <w:pPr>
        <w:numPr>
          <w:ilvl w:val="0"/>
          <w:numId w:val="3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критерії, правила і процедури оцінювання здобувачів освіти;</w:t>
      </w:r>
    </w:p>
    <w:p w:rsidR="00DE6022">
      <w:pPr>
        <w:numPr>
          <w:ilvl w:val="0"/>
          <w:numId w:val="3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критерії, правила і процедури оцінювання педагогічної діяльності педагогічних працівників;</w:t>
      </w:r>
    </w:p>
    <w:p w:rsidR="00DE6022">
      <w:pPr>
        <w:numPr>
          <w:ilvl w:val="0"/>
          <w:numId w:val="3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критерії, правила і процедури оцінювання управлінської діяльност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і керівних працівників закладу освіти;</w:t>
      </w:r>
    </w:p>
    <w:p w:rsidR="00DE6022">
      <w:pPr>
        <w:numPr>
          <w:ilvl w:val="0"/>
          <w:numId w:val="3"/>
        </w:numPr>
        <w:tabs>
          <w:tab w:val="num" w:pos="720"/>
        </w:tabs>
        <w:suppressAutoHyphens/>
        <w:spacing w:after="2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механізми реалізації внутрішньої системи забезпечення якості освіти.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ІІІ. Політика та процедури забезпечення внутрішньої системи забезпечення якості освіти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Політика внутрішньої системи забезпечення якості освіти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спрямована на: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3.1. створення системи та механізмів забезпечення академічної доброчесності;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3.2. забезпечення наявності інформаційних систем для ефективного управління закладом освіти;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3.3. забезпечення наявності в закладі освіти необхідних ресурсів для ор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ганізації освітнього процесу;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3.4. створення в закладі освіти інклюзивного освітнього середовища;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3.5. запобігання та протидію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булінгу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(цькуванню);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3.6. застосування системи внутрішнього моніторингу для відстеження та коригування результатів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освітньої діяльності.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3.1. Створення системи та механізмів забезпечення академічної доброчесності (див. розділ ІV);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3.2. Забезпечення наявності інформаційних систем для ефективного управління закладом освіти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Для ефективного управління гімназія має бути заб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езпечена такими компонентами інформаційних систем, як:</w:t>
      </w:r>
    </w:p>
    <w:p w:rsidR="00DE6022">
      <w:pPr>
        <w:numPr>
          <w:ilvl w:val="0"/>
          <w:numId w:val="4"/>
        </w:numPr>
        <w:tabs>
          <w:tab w:val="num" w:pos="720"/>
        </w:tabs>
        <w:suppressAutoHyphens/>
        <w:spacing w:beforeAutospacing="1"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сучасна мережа Інтернет;</w:t>
      </w:r>
    </w:p>
    <w:p w:rsidR="00DE6022">
      <w:pPr>
        <w:numPr>
          <w:ilvl w:val="0"/>
          <w:numId w:val="4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технічне забезпечення (комп’ютерне, мультимедійне обладнання, цифрові засоби: проектор, фотокамера, проекційний екран, інтерактивна дошка тощо);</w:t>
      </w:r>
    </w:p>
    <w:p w:rsidR="00DE6022">
      <w:pPr>
        <w:numPr>
          <w:ilvl w:val="0"/>
          <w:numId w:val="4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ліцензовані програмні продукти,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електронні освітні ресурси;</w:t>
      </w:r>
    </w:p>
    <w:p w:rsidR="00DE6022">
      <w:pPr>
        <w:numPr>
          <w:ilvl w:val="0"/>
          <w:numId w:val="4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єдиний інформаційний простір закладу (можливість спільного використання суб’єктами освіти наявних у системі електронних ресурсів);</w:t>
      </w:r>
    </w:p>
    <w:p w:rsidR="00DE6022">
      <w:pPr>
        <w:numPr>
          <w:ilvl w:val="0"/>
          <w:numId w:val="4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доступ до наявних освітніх веб-ресурсів (веб-сайти, блоги педагогів, сайт закладу освіти, платфо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рма для дистанційної освіти);</w:t>
      </w:r>
    </w:p>
    <w:p w:rsidR="00DE6022">
      <w:pPr>
        <w:numPr>
          <w:ilvl w:val="0"/>
          <w:numId w:val="4"/>
        </w:numPr>
        <w:tabs>
          <w:tab w:val="num" w:pos="720"/>
        </w:tabs>
        <w:suppressAutoHyphens/>
        <w:spacing w:after="2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інформаційні ресурси навчального призначення (бібліотека, бази даних, інформаційні системи, програмне забезпечення, засоби зв’язку, комп’ютерні та телекомунікаційні мережі, радіо- та телеканали тощо).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3.3. Забезпечення наявнос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ті необхідних ресурсів для організації освітнього процесу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Для організації освітнього процесу гімназія має бути забезпечена такими ресурсами, як:</w:t>
      </w:r>
    </w:p>
    <w:p w:rsidR="00DE6022">
      <w:pPr>
        <w:numPr>
          <w:ilvl w:val="0"/>
          <w:numId w:val="5"/>
        </w:numPr>
        <w:tabs>
          <w:tab w:val="num" w:pos="720"/>
        </w:tabs>
        <w:suppressAutoHyphens/>
        <w:spacing w:beforeAutospacing="1"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uk-UA" w:bidi="ar-SA"/>
        </w:rPr>
        <w:t>Державний стандарт загальної середньої освіти;</w:t>
      </w:r>
    </w:p>
    <w:p w:rsidR="00DE6022">
      <w:pPr>
        <w:numPr>
          <w:ilvl w:val="0"/>
          <w:numId w:val="5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uk-UA" w:bidi="ar-SA"/>
        </w:rPr>
        <w:t>типові освітні програми;</w:t>
      </w:r>
    </w:p>
    <w:p w:rsidR="00DE6022">
      <w:pPr>
        <w:numPr>
          <w:ilvl w:val="0"/>
          <w:numId w:val="5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статут закладу освіти;</w:t>
      </w:r>
    </w:p>
    <w:p w:rsidR="00DE6022">
      <w:pPr>
        <w:numPr>
          <w:ilvl w:val="0"/>
          <w:numId w:val="5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стратегія розвитку закладу освіти;</w:t>
      </w:r>
    </w:p>
    <w:p w:rsidR="00DE6022">
      <w:pPr>
        <w:numPr>
          <w:ilvl w:val="0"/>
          <w:numId w:val="5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річний план роботи закладу освіти;</w:t>
      </w:r>
    </w:p>
    <w:p w:rsidR="00DE6022">
      <w:pPr>
        <w:numPr>
          <w:ilvl w:val="0"/>
          <w:numId w:val="5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освітня програма закладу освіти;</w:t>
      </w:r>
    </w:p>
    <w:p w:rsidR="00DE6022">
      <w:pPr>
        <w:numPr>
          <w:ilvl w:val="0"/>
          <w:numId w:val="5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штатний розпис закладу освіти;</w:t>
      </w:r>
    </w:p>
    <w:p w:rsidR="00DE6022">
      <w:pPr>
        <w:numPr>
          <w:ilvl w:val="0"/>
          <w:numId w:val="5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календарно-тематичне планування;</w:t>
      </w:r>
    </w:p>
    <w:p w:rsidR="00DE6022">
      <w:pPr>
        <w:numPr>
          <w:ilvl w:val="0"/>
          <w:numId w:val="5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методики та технології організації освітнього процесу;</w:t>
      </w:r>
    </w:p>
    <w:p w:rsidR="00DE6022">
      <w:pPr>
        <w:numPr>
          <w:ilvl w:val="0"/>
          <w:numId w:val="5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методики роботи з дітьми з особлив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ими освітніми потребами;</w:t>
      </w:r>
    </w:p>
    <w:p w:rsidR="00DE6022">
      <w:pPr>
        <w:numPr>
          <w:ilvl w:val="0"/>
          <w:numId w:val="5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система матеріального та морального заохочення;</w:t>
      </w:r>
    </w:p>
    <w:p w:rsidR="00DE6022">
      <w:pPr>
        <w:numPr>
          <w:ilvl w:val="0"/>
          <w:numId w:val="5"/>
        </w:numPr>
        <w:tabs>
          <w:tab w:val="num" w:pos="720"/>
        </w:tabs>
        <w:suppressAutoHyphens/>
        <w:spacing w:after="2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плани підвищення кваліфікації педагогічних працівників.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3.4. Створення в гімназії інклюзивного освітнього середовища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Створення в гімназії інклюзивного освітнього середовища передбачає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:</w:t>
      </w:r>
    </w:p>
    <w:p w:rsidR="00DE6022">
      <w:pPr>
        <w:numPr>
          <w:ilvl w:val="0"/>
          <w:numId w:val="6"/>
        </w:numPr>
        <w:tabs>
          <w:tab w:val="num" w:pos="720"/>
        </w:tabs>
        <w:suppressAutoHyphens/>
        <w:spacing w:beforeAutospacing="1"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організацію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безбар’єрного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простору (фізичну можливість та зручність потрапляння до закладу освіти, фізичну безпеку при пересуванні в ньому; можливість вільного отримання інформації про заклад освіти і освітні послуги, що надаються);</w:t>
      </w:r>
    </w:p>
    <w:p w:rsidR="00DE6022">
      <w:pPr>
        <w:numPr>
          <w:ilvl w:val="0"/>
          <w:numId w:val="6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облаштування ресурсно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ї кімнати (організація зони навчання та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побутово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-практичної зони);</w:t>
      </w:r>
    </w:p>
    <w:p w:rsidR="00DE6022">
      <w:pPr>
        <w:numPr>
          <w:ilvl w:val="0"/>
          <w:numId w:val="6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забезпечення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медіатеки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мультимедійними засобами для максимального наближення дітей до необхідних джерел інформації;</w:t>
      </w:r>
    </w:p>
    <w:p w:rsidR="00DE6022">
      <w:pPr>
        <w:numPr>
          <w:ilvl w:val="0"/>
          <w:numId w:val="6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створення комплексної системи заходів із супроводу учня з особливими осві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тніми потребами (корекційно-розвивальні заняття з практичним психологом, вчителем-логопедом, вчителем-дефектологом, вчителем-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реабілітологом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);</w:t>
      </w:r>
    </w:p>
    <w:p w:rsidR="00DE6022">
      <w:pPr>
        <w:numPr>
          <w:ilvl w:val="0"/>
          <w:numId w:val="6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адаптацію та модифікацію типової освітньої програми або її компонентів (гнучкість програми, різні навчальні методи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ки і проведення відповідного оцінювання, розробка індивідуальної програми розвитку);</w:t>
      </w:r>
    </w:p>
    <w:p w:rsidR="00DE6022">
      <w:pPr>
        <w:numPr>
          <w:ilvl w:val="0"/>
          <w:numId w:val="6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реалізацію просвітницьких заходів щодо формування толерантності, поваги до індивідуальних особливостей дітей, подолання ментальних бар’єрів у взаємодії,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неупередженості та недопущення дискримінації;</w:t>
      </w:r>
    </w:p>
    <w:p w:rsidR="00DE6022">
      <w:pPr>
        <w:numPr>
          <w:ilvl w:val="0"/>
          <w:numId w:val="6"/>
        </w:numPr>
        <w:tabs>
          <w:tab w:val="num" w:pos="720"/>
        </w:tabs>
        <w:suppressAutoHyphens/>
        <w:spacing w:after="2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здійснення психолого-педагогічного супроводу формування у дітей з особливими освітніми потребами почуття поваги і власної гідності, усвідомлення своєї повноцінності та значущості у суспільстві.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3.5. Запобігання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 xml:space="preserve"> та протидія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булінгу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 xml:space="preserve"> (цькуванню)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Запобігання та протидія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булінгу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(цькуванню) в гімназії передбачає:</w:t>
      </w:r>
    </w:p>
    <w:p w:rsidR="00DE6022">
      <w:pPr>
        <w:numPr>
          <w:ilvl w:val="0"/>
          <w:numId w:val="7"/>
        </w:numPr>
        <w:tabs>
          <w:tab w:val="num" w:pos="720"/>
        </w:tabs>
        <w:suppressAutoHyphens/>
        <w:spacing w:beforeAutospacing="1"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розроблення та оприлюднення правил поведінки здобувача освіти в закладі освіти;</w:t>
      </w:r>
    </w:p>
    <w:p w:rsidR="00DE6022">
      <w:pPr>
        <w:numPr>
          <w:ilvl w:val="0"/>
          <w:numId w:val="7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розроблення та оприлюднення плану заходів, спрямованих на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запобігання та протидію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булінгу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(цькуванню) в закладі освіти;</w:t>
      </w:r>
    </w:p>
    <w:p w:rsidR="00DE6022">
      <w:pPr>
        <w:numPr>
          <w:ilvl w:val="0"/>
          <w:numId w:val="7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розроблення та оприлюднення порядку подання та розгляду (з дотриманням конфіденційності) заяв про випадки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булінгу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(цькування) в закладі освіти;</w:t>
      </w:r>
    </w:p>
    <w:p w:rsidR="00DE6022">
      <w:pPr>
        <w:numPr>
          <w:ilvl w:val="0"/>
          <w:numId w:val="7"/>
        </w:numPr>
        <w:tabs>
          <w:tab w:val="num" w:pos="720"/>
        </w:tabs>
        <w:suppressAutoHyphens/>
        <w:spacing w:after="2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розроблення та оприлюднення порядку реагування на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доведені випадки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булінгу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(цькування) в гімназії та відповідальності осіб, причетних до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булінгу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(цькування) тощо.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3.6. Застосування системи внутрішнього моніторингу для відстеження та коригування результатів освітньої діяльності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До складу системи внутрішньо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го моніторингу належать:</w:t>
      </w:r>
    </w:p>
    <w:p w:rsidR="00DE6022">
      <w:pPr>
        <w:numPr>
          <w:ilvl w:val="0"/>
          <w:numId w:val="8"/>
        </w:numPr>
        <w:tabs>
          <w:tab w:val="num" w:pos="720"/>
        </w:tabs>
        <w:suppressAutoHyphens/>
        <w:spacing w:beforeAutospacing="1"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система внутрішнього моніторингу якості освітньої діяльності та якості освіти;</w:t>
      </w:r>
    </w:p>
    <w:p w:rsidR="00DE6022">
      <w:pPr>
        <w:numPr>
          <w:ilvl w:val="0"/>
          <w:numId w:val="8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система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самооцінювання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якості педагогічної та управлінської діяльності;</w:t>
      </w:r>
    </w:p>
    <w:p w:rsidR="00DE6022">
      <w:pPr>
        <w:numPr>
          <w:ilvl w:val="0"/>
          <w:numId w:val="8"/>
        </w:numPr>
        <w:tabs>
          <w:tab w:val="num" w:pos="720"/>
        </w:tabs>
        <w:suppressAutoHyphens/>
        <w:spacing w:after="2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система оцінювання навчальних досягнень учнів.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Методи збору інформації:</w:t>
      </w:r>
    </w:p>
    <w:p w:rsidR="00DE6022">
      <w:pPr>
        <w:numPr>
          <w:ilvl w:val="0"/>
          <w:numId w:val="9"/>
        </w:numPr>
        <w:tabs>
          <w:tab w:val="num" w:pos="720"/>
        </w:tabs>
        <w:suppressAutoHyphens/>
        <w:spacing w:beforeAutospacing="1"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Аналіз 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окументів (плани роботи, звіти, протоколи засідань педагогічної ради, класні журнали тощо).</w:t>
      </w:r>
    </w:p>
    <w:p w:rsidR="00DE6022">
      <w:pPr>
        <w:numPr>
          <w:ilvl w:val="0"/>
          <w:numId w:val="9"/>
        </w:numPr>
        <w:tabs>
          <w:tab w:val="num" w:pos="720"/>
        </w:tabs>
        <w:suppressAutoHyphens/>
        <w:spacing w:after="2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Опитування: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– анкетування учасників освітнього процесу (педагогів, учнів, батьків);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– інтерв’ю (з педагогічними працівниками, представниками учнівського самоврядува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ння);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– фокус-групи (з батьками, учнями, представниками учнівського самоврядування, педагогами).</w:t>
      </w:r>
    </w:p>
    <w:p w:rsidR="00DE6022">
      <w:pPr>
        <w:numPr>
          <w:ilvl w:val="0"/>
          <w:numId w:val="10"/>
        </w:numPr>
        <w:tabs>
          <w:tab w:val="num" w:pos="720"/>
        </w:tabs>
        <w:suppressAutoHyphens/>
        <w:spacing w:beforeAutospacing="1" w:after="2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Моніторинг: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– навчальних досягнень здобувачів освіти;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– педагогічної діяльності (спостереження за проведенням навчальних занять, позакласною роботою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тощо);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– спостереження за освітнім середовищем (санітарно-гігієнічні умови, стан забезпечення навчальних приміщень, безпека спортивних та ігрових майданчиків, робота їдальні та буфету, вплив середовища на навчальну діяльність тощо).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 xml:space="preserve">Інструментарій методів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збору інформації:</w:t>
      </w:r>
    </w:p>
    <w:p w:rsidR="00DE6022">
      <w:pPr>
        <w:numPr>
          <w:ilvl w:val="0"/>
          <w:numId w:val="11"/>
        </w:numPr>
        <w:tabs>
          <w:tab w:val="num" w:pos="720"/>
        </w:tabs>
        <w:suppressAutoHyphens/>
        <w:spacing w:beforeAutospacing="1"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пам’ятки для аналізу документів (щодо системи оцінювання навчальних досягнень учнів; фінансування закладу освіти; кількісно-якісного складу педагогічних працівників тощо);</w:t>
      </w:r>
    </w:p>
    <w:p w:rsidR="00DE6022">
      <w:pPr>
        <w:numPr>
          <w:ilvl w:val="0"/>
          <w:numId w:val="11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анкети (для педагогів, учнів, батьків);</w:t>
      </w:r>
    </w:p>
    <w:p w:rsidR="00DE6022">
      <w:pPr>
        <w:numPr>
          <w:ilvl w:val="0"/>
          <w:numId w:val="11"/>
        </w:numPr>
        <w:tabs>
          <w:tab w:val="num" w:pos="720"/>
        </w:tabs>
        <w:suppressAutoHyphens/>
        <w:spacing w:after="2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бланки спостереження (за 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роведенням навчальних занять, позакласною роботою тощо).</w:t>
      </w:r>
    </w:p>
    <w:p w:rsidR="00DE6022">
      <w:pPr>
        <w:suppressAutoHyphens/>
        <w:spacing w:beforeAutospacing="1" w:after="2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4. Система та механізми забезпечення академічної доброчесності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4.1. Дотримання академічної доброчесності педагогічними працівниками передбачає:</w:t>
      </w:r>
    </w:p>
    <w:p w:rsidR="00DE6022">
      <w:pPr>
        <w:numPr>
          <w:ilvl w:val="0"/>
          <w:numId w:val="12"/>
        </w:numPr>
        <w:tabs>
          <w:tab w:val="num" w:pos="720"/>
        </w:tabs>
        <w:suppressAutoHyphens/>
        <w:spacing w:beforeAutospacing="1"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посилання на джерела інформації у разі використання іде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й, розробок, тверджень, відомостей;</w:t>
      </w:r>
    </w:p>
    <w:p w:rsidR="00DE6022">
      <w:pPr>
        <w:numPr>
          <w:ilvl w:val="0"/>
          <w:numId w:val="12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дотримання норм законодавства про авторське право і суміжні права;</w:t>
      </w:r>
    </w:p>
    <w:p w:rsidR="00DE6022">
      <w:pPr>
        <w:numPr>
          <w:ilvl w:val="0"/>
          <w:numId w:val="12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надання достовірної інформації про методики і результати досліджень, джерела використаної інформації та власну педагогічну діяльність;</w:t>
      </w:r>
    </w:p>
    <w:p w:rsidR="00DE6022">
      <w:pPr>
        <w:numPr>
          <w:ilvl w:val="0"/>
          <w:numId w:val="12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контроль за дотрим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анням академічної доброчесності здобувачами освіти;</w:t>
      </w:r>
    </w:p>
    <w:p w:rsidR="00DE6022">
      <w:pPr>
        <w:numPr>
          <w:ilvl w:val="0"/>
          <w:numId w:val="12"/>
        </w:numPr>
        <w:tabs>
          <w:tab w:val="num" w:pos="720"/>
        </w:tabs>
        <w:suppressAutoHyphens/>
        <w:spacing w:after="2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об’єктивне оцінювання результатів навчання.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4.2. Дотримання академічної доброчесності здобувачами освіти передбачає:</w:t>
      </w:r>
    </w:p>
    <w:p w:rsidR="00DE6022">
      <w:pPr>
        <w:numPr>
          <w:ilvl w:val="0"/>
          <w:numId w:val="13"/>
        </w:numPr>
        <w:tabs>
          <w:tab w:val="num" w:pos="720"/>
        </w:tabs>
        <w:suppressAutoHyphens/>
        <w:spacing w:beforeAutospacing="1"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самостійне виконання навчальних завдань, завдань поточного та підсумкового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контролю результатів навчання (для осіб з особливими освітніми потребами ця вимога застосовується з урахуванням їхніх індивідуальних потреб і можливостей);</w:t>
      </w:r>
    </w:p>
    <w:p w:rsidR="00DE6022">
      <w:pPr>
        <w:numPr>
          <w:ilvl w:val="0"/>
          <w:numId w:val="13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посилання на джерела інформації у разі використання ідей, розробок, тверджень, відомостей;</w:t>
      </w:r>
    </w:p>
    <w:p w:rsidR="00DE6022">
      <w:pPr>
        <w:numPr>
          <w:ilvl w:val="0"/>
          <w:numId w:val="13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дотримання норм законодавства про авторське право і суміжні права;</w:t>
      </w:r>
    </w:p>
    <w:p w:rsidR="00DE6022">
      <w:pPr>
        <w:numPr>
          <w:ilvl w:val="0"/>
          <w:numId w:val="13"/>
        </w:numPr>
        <w:tabs>
          <w:tab w:val="num" w:pos="720"/>
        </w:tabs>
        <w:suppressAutoHyphens/>
        <w:spacing w:after="2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надання достовірної інформації про результати власної навчальної діяльності і джерела інформації.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4.3. За порушення академічної доброчесності педагогічні працівники гімназії можуть бути при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тягнені до такої академічної відповідальності:</w:t>
      </w:r>
    </w:p>
    <w:p w:rsidR="00DE6022">
      <w:pPr>
        <w:numPr>
          <w:ilvl w:val="0"/>
          <w:numId w:val="14"/>
        </w:numPr>
        <w:tabs>
          <w:tab w:val="num" w:pos="720"/>
        </w:tabs>
        <w:suppressAutoHyphens/>
        <w:spacing w:beforeAutospacing="1"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відмова в присвоєнні кваліфікаційної категорії;</w:t>
      </w:r>
    </w:p>
    <w:p w:rsidR="00DE6022">
      <w:pPr>
        <w:numPr>
          <w:ilvl w:val="0"/>
          <w:numId w:val="14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позбавлення присвоєної кваліфікаційної категорії;</w:t>
      </w:r>
    </w:p>
    <w:p w:rsidR="00DE6022">
      <w:pPr>
        <w:numPr>
          <w:ilvl w:val="0"/>
          <w:numId w:val="14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відмова в присвоєнні педагогічного звання;</w:t>
      </w:r>
    </w:p>
    <w:p w:rsidR="00DE6022">
      <w:pPr>
        <w:numPr>
          <w:ilvl w:val="0"/>
          <w:numId w:val="14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позбавлення присвоєного педагогічного звання;</w:t>
      </w:r>
    </w:p>
    <w:p w:rsidR="00DE6022">
      <w:pPr>
        <w:numPr>
          <w:ilvl w:val="0"/>
          <w:numId w:val="14"/>
        </w:numPr>
        <w:tabs>
          <w:tab w:val="num" w:pos="720"/>
        </w:tabs>
        <w:suppressAutoHyphens/>
        <w:spacing w:after="2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позбавлення права брат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и участь у роботі визначених законом органів чи займати визначені законом посади.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4.4. За порушення академічної доброчесності здобувачі освіти можуть бути притягнені до такої академічної відповідальності:</w:t>
      </w:r>
    </w:p>
    <w:p w:rsidR="00DE6022">
      <w:pPr>
        <w:numPr>
          <w:ilvl w:val="0"/>
          <w:numId w:val="15"/>
        </w:numPr>
        <w:tabs>
          <w:tab w:val="num" w:pos="720"/>
        </w:tabs>
        <w:suppressAutoHyphens/>
        <w:spacing w:beforeAutospacing="1"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повторне проходження оцінювання (контрольна, практи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чна, лабораторна роботи, тест, залік тощо);</w:t>
      </w:r>
    </w:p>
    <w:p w:rsidR="00DE6022">
      <w:pPr>
        <w:numPr>
          <w:ilvl w:val="0"/>
          <w:numId w:val="15"/>
        </w:numPr>
        <w:tabs>
          <w:tab w:val="num" w:pos="720"/>
        </w:tabs>
        <w:suppressAutoHyphens/>
        <w:spacing w:after="2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повторне проходження відповідного освітнього компонента освітньої програми.</w:t>
      </w:r>
    </w:p>
    <w:p w:rsidR="00DE6022">
      <w:pPr>
        <w:suppressAutoHyphens/>
        <w:spacing w:beforeAutospacing="1" w:after="2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5. Критерії, правила і процедури оцінювання здобувачів освіти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Критерії, правила і процедури оцінювання учнів у гімназії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визначаються на основі положень відповідних наказів МОН України щодо оцінювання навчальних досягнень учнів у системі загальної середньої освіти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5.1. Оцінювання результатів навчання та особистих досягнень учнів у 1-2 класах має формувальний характер, здійсн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юється вербально, у 3-4 класах здійснюється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рівнево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, що передбачає активне залучення учнів до самоконтролю і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самооцінювання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(відповідно до наказу МОН України від 13.07.2021  № 813 «Про затвердження методичних рекомендацій щодо оцінювання результатів навчан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ня учнів 1-4 класів закладів загальної середньої освіти).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5.2. Оцінювання навчальних досягнень учнів основної школи здійснюється за 12-бальною шкалою (відповідно до наказу МОН України від 21.08.2013 № 1222 «Про затвердження орієнтовних вимог оцінювання нав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чальних досягнень учнів із базових дисциплін у системі загальної середньої освіти»).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Відповідно до ступеня оволодіння знаннями і способами діяльності виокремлюються чотири рівні навчальних досягнень учнів: початковий, середній, достатній, високий.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Оцінюван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ня здійснюється у процесі повсякденного вивчення результатів навчальної роботи учнів, а також за результатами перевірки навчальних досягнень учнів: усної (індивідуальне, групове, фронтальне опитування), письмової (самостійна робота, контрольна робота, тема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тична контрольна робота, тестування, та ін.).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5.3. Оцінювання навчальних досягнень учнів старшої школи здійснюється за 12-бальною системою(шкалою) і його результати позначаються цифрами від 1 до 12 (відповідно до наказу МОН України від 13.04.2011 № 329 «Пр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о затвердження Критеріїв оцінювання навчальних досягнень учнів (вихованців) у системі загальної середньої освіти»).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5.6. Державна підсумкова атестація осіб, які здобувають загальну середню освіту в гімназії, відбувається відповідно до наказу МОН України ві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д 07.12.2018 № 1369 «Про затвердження Порядку проведення державної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підсумкової атестації» (Із змінами, внесеними згідно з наказом Міністерства освіти і науки України </w:t>
      </w:r>
      <w:hyperlink r:id="rId5" w:anchor="n2" w:history="1">
        <w:r>
          <w:rPr>
            <w:rFonts w:ascii="Times New Roman" w:eastAsia="Times New Roman" w:hAnsi="Times New Roman" w:cs="Times New Roman"/>
            <w:color w:val="337AB7"/>
            <w:sz w:val="28"/>
            <w:szCs w:val="28"/>
            <w:lang w:val="uk-UA" w:eastAsia="uk-UA" w:bidi="ar-SA"/>
          </w:rPr>
          <w:t>№ 221 від 18.02.2019</w:t>
        </w:r>
      </w:hyperlink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).</w:t>
      </w:r>
    </w:p>
    <w:p w:rsidR="00DE6022">
      <w:pPr>
        <w:suppressAutoHyphens/>
        <w:spacing w:beforeAutospacing="1" w:after="2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6. Критерії, правила і процедури оцінювання педагогічної діяльності педагогічних працівників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Критерії, правила і процедури оцінювання педагогічної діяльності педагогічних працівників закладу визначаються на основі положень наказу МОН України від 09.01.2019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№ 17 «Про затвердження Порядку проведення інституційного аудиту закладів загальної середньої освіти».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6.1. Вимога 1.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Ефективність планування педагогічними працівниками своєї діяльності, використання сучасних освітніх підходів до організації освітнього про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цесу з метою формування ключових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компетентностей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здобувачів освіти.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Критерії оцінювання: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1.1. Педагогічні працівники планують свою діяльність, аналізують її результативність.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1.2. Педагогічні працівники застосовують освітні технології, спрямовані на формув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ання ключових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компетентностей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і наскрізних умінь здобувачів освіти.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1.3. Педагогічні працівники беруть участь у формуванні та реалізації індивідуальних освітніх траєкторій для здобувачів освіти (за потреби).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1.4 Педагогічні працівники створюють та/або вико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ристовують освітні ресурси (електронні презентації, відеоматеріали, методичні розробки, веб-сайти, блоги тощо).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1.5. Педагогічні працівники сприяють формуванню суспільних цінностей у здобувачів освіти у процесі їх навчання, виховання та розвитку.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1.6. Педагогічні працівники використовують інформаційно-комунікаційні технології в освітньому процесі.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6.2. Вимога 2.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Постійне підвищення професійного рівня і педагогічної майстерності педагогічних працівників.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Критерії оцінювання: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2.1. Педагогічні працівн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ики забезпечують власний професійний розвиток і підвищення кваліфікації, у тому числі щодо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методик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роботи з дітьми з особливими освітніми потребами.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2.2. Педагогічні працівники здійснюють інноваційну освітню діяльність, беруть участь у освітніх проектах, 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алучаються до роботи як освітні експерти.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6.3. Вимога 3.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Налагодження співпраці зі здобувачами освіти, їх батьками, працівниками закладу освіти.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Критерії оцінювання: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3.1. Педагогічні працівники діють на засадах педагогіки партнерства.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3.2. Педагогічні працівники співпрацюють з батьками здобувачів освіти з питань організації освітнього процесу, забезпечують постійний зворотній зв’язок.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3.3. У закладі освіти існує практика педагогічного наставництва,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взаємонавчання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та інших форм професійн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ої співпраці.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6.4. Вимога 4.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Організація педагогічної діяльності та навчання здобувачів освіти на засадах академічної доброчесності.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 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Критерії оцінювання: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4.1. Педагогічні працівники під час провадження педагогічної та наукової (творчої) діяльності дотрим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уються академічної доброчесності.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4.2. Педагогічні працівники сприяють дотриманню академічної доброчесності здобувачами освіти.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VII. Критерії, правила і процедури оцінювання управлінської діяльності керівних працівників закладу освіти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Критерії, правила і 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роцедури оцінювання управлінської діяльності керівних працівників закладу освіти визначаються на основі положень наказу Міністерства освіти і науки України від 09.01.2019 № 17 «Про затвердження Порядку проведення інституційного аудиту закладів загальної се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редньої освіти».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7.1. Вимога 1.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Наявність стратегії розвитку та системи планування діяльності закладу, моніторинг виконання поставлених цілей і завдань.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Критерії оцінювання: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1.1. У закладі освіти затверджено стратегію його розвитку, спрямовану на підвищенн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я якості освітньої діяльності.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1.2. У закладі освіти річне планування та відстеження його результативності здійснюються відповідно до стратегії його розвитку та з урахуванням освітньої програми.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1.3. У закладі освіти здійснюється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самооцінювання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якості осві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тньої діяльності на основі стратегії (політики) і процедур забезпечення якості освіти.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1.4. Керівництво закладу освіти планує та здійснює заходи щодо утримання у належному стані будівель, приміщень, обладнання.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7.2. Вимога 2.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Формування відносин довіри, пр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озорості, дотримання етичних норм.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Критерії оцінювання: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2.1. Керівництво закладу освіти сприяє створенню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віти та взаємну довіру.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2.2. Заклад освіти оприлюднює інформацію про свою діяльність на відкритих загальнодоступних ресурсах.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7.3. Вимога 3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. Ефективність кадрової політики та забезпечення можливостей для професійного розвитку педагогічних працівників.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Крит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ерії оцінювання: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3.1. Керівник закладу освіти формує штат закладу, залучаючи кваліфікованих педагогічних та інших працівників відповідно до штатного розпису та освітньої програми.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3.2. Керівництво закладу освіти за допомогою системи матеріального та мораль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ного заохочення мотивує педагогічних працівників до підвищення якості освітньої діяльності, саморозвитку, здійснення інноваційної освітньої діяльності.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3.3. Керівництво закладу освіти сприяє підвищенню кваліфікації педагогічних працівників.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7.4. Вимога 4.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Організація освітнього процесу на засадах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людиноцентризму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, прийняття управлінських рішень на основі конструктивної співпраці учасників освітнього процесу, взаємодія закладу освіти з місцевою громадою.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Критерії оцінювання: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4.1. У закладі освіти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створюються умови для реалізації прав і обов’язків учасників освітнього процесу.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4.2. Управлінські рішення приймаються з урахуванням пропозицій учасників освітнього процесу.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4.3. Керівництво закладу освіти створює умови для розвитку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громадського самоврядування.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4.4. Керівництво закладу освіти сприяє виявленню громадської активності та ініціативи учасників освітнього процесу, їх участі в житті місцевої громади.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4.5. Режим роботи закладу освіти та розклад занять враховують вікові особли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вості здобувачів освіти, відповідають їх освітнім потребам.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4.6. У закладі освіти створюються умови для реалізації індивідуальних освітніх траєкторій здобувачів освіти.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7.5. Вимога 5.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Формування та забезпечення реалізації політики академічної доброчесності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Критерії оцінювання: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5.1. Заклад освіти впроваджує політику академічної доброчесності.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5.2. Керівництво закладу освіти сприяє формуванню в учасників освітнього процесу негативного ставлення до корупції.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VIIІ. Механізми реалізації внутрішньої системи забе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uk-UA" w:bidi="ar-SA"/>
        </w:rPr>
        <w:t>зпечення якості освіти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Механізми реалізації ВСЗЯО передбачають здійснення періодичного оцінювання компонентів гімназії за напрямами оцінювання відповідальними посадовими особами і представниками громадських структур закладу освіти на основі визначених мето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дів збору інформації та відповідного інструментарію. Отримана інформація узагальнюється, відповідний компонент оцінюється, після чого зазначені матеріали передаються дирекції закладу для прийняття відповідного управлінського рішення щодо удосконалення якос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ті освіти в гімназії.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Дані щодо процедури та результатів оцінювання мають узагальнюватися зокрема в таблицях. Компоненти напряму оцінювання. До них віднесено (відповідно до наказу МОН України від 09.01.2019 № 17 «Про затвердження Порядку проведення інститу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ційного аудиту закладів загальної середньої освіти»):</w:t>
      </w:r>
    </w:p>
    <w:p w:rsidR="00DE6022">
      <w:pPr>
        <w:numPr>
          <w:ilvl w:val="0"/>
          <w:numId w:val="16"/>
        </w:numPr>
        <w:tabs>
          <w:tab w:val="num" w:pos="720"/>
        </w:tabs>
        <w:suppressAutoHyphens/>
        <w:spacing w:beforeAutospacing="1"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освітнє середовище закладу освіти (облаштування території, стан приміщення закладу, дотримання повітряно-теплового режиму, стан освітлення, прибирання приміщень, облаштування та утримання туалетів, дотр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имання питного режиму тощо);</w:t>
      </w:r>
    </w:p>
    <w:p w:rsidR="00DE6022">
      <w:pPr>
        <w:numPr>
          <w:ilvl w:val="0"/>
          <w:numId w:val="16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система оцінювання здобувачів освіти (оприлюднення критеріїв, правил та процедур оцінювання навчальних досягнень, здійснення аналізу результатів навчання учнів, впровадження системи формувального оцінювання тощо);</w:t>
      </w:r>
    </w:p>
    <w:p w:rsidR="00DE6022">
      <w:pPr>
        <w:numPr>
          <w:ilvl w:val="0"/>
          <w:numId w:val="16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педагогічна 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іяльність педагогічних працівників (формування та реалізація індивідуальних освітніх траєкторій учнів, використання інформаційно-комунікаційних технологій в освітньому процесі, розвиток педагогіки партнерства тощо);</w:t>
      </w:r>
    </w:p>
    <w:p w:rsidR="00DE6022">
      <w:pPr>
        <w:numPr>
          <w:ilvl w:val="0"/>
          <w:numId w:val="16"/>
        </w:numPr>
        <w:tabs>
          <w:tab w:val="num" w:pos="720"/>
        </w:tabs>
        <w:suppressAutoHyphens/>
        <w:spacing w:after="2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управлінські процеси закладу освіти (стр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атегія розвитку закладу, здійснення річного планування відповідно до стратегії, підвищення кваліфікації педагогічних працівників тощо).</w:t>
      </w:r>
    </w:p>
    <w:p w:rsidR="00DE6022">
      <w:pPr>
        <w:numPr>
          <w:ilvl w:val="0"/>
          <w:numId w:val="17"/>
        </w:numPr>
        <w:tabs>
          <w:tab w:val="num" w:pos="720"/>
        </w:tabs>
        <w:suppressAutoHyphens/>
        <w:spacing w:beforeAutospacing="1"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Періодичність оцінювання. Визначається відповідно до частоти оцінювання (1 раз на п’ять років, 1 раз на 3 роки, 1 раз 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рік, півріччя (семестр), квартал (чверть), щомісячно, щотижнево тощо).</w:t>
      </w:r>
    </w:p>
    <w:p w:rsidR="00DE6022">
      <w:pPr>
        <w:numPr>
          <w:ilvl w:val="0"/>
          <w:numId w:val="17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Відповідальні за оцінювання. Ними є не тільки члени адміністрації гімназії, а й представники колективу, громадських організацій закладу. Перелік таких осіб може виглядати так: директор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, заступники директора, голови методичних об’єднань, педагогічні працівники, психолог, соціальний педагог, бібліотекар, медична сестра, члени ради гімназії, батьківського комітету, учнівського комітету тощо.</w:t>
      </w:r>
    </w:p>
    <w:p w:rsidR="00DE6022">
      <w:pPr>
        <w:numPr>
          <w:ilvl w:val="0"/>
          <w:numId w:val="17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Методи збору інформації та інструментарій. У цій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графі визначається метод збору інформації (аналіз документів, опитування, спостереження) та інструментарій (пам’ятка, бланк, анкета тощо).</w:t>
      </w:r>
    </w:p>
    <w:p w:rsidR="00DE6022">
      <w:pPr>
        <w:numPr>
          <w:ilvl w:val="0"/>
          <w:numId w:val="17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Форми узагальнення інформації. До інформації, яку має надати відповідальна особа після завершення процедури оцінюван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ня, віднесено аналітичну довідку, письмовий звіт, усний звіт, доповідну записку, акт тощо.</w:t>
      </w:r>
    </w:p>
    <w:p w:rsidR="00DE6022">
      <w:pPr>
        <w:numPr>
          <w:ilvl w:val="0"/>
          <w:numId w:val="17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Рівень оцінювання. Рівень оцінювання як обов’язковий елемент механізму передбачає визначення рівня оцінювання: перший (високий); другий (достатній); третій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(вимагає покращення); четвертий (низький).</w:t>
      </w:r>
    </w:p>
    <w:p w:rsidR="00DE6022">
      <w:pPr>
        <w:numPr>
          <w:ilvl w:val="0"/>
          <w:numId w:val="17"/>
        </w:numPr>
        <w:tabs>
          <w:tab w:val="num" w:pos="720"/>
        </w:tabs>
        <w:suppressAutoHyphens/>
        <w:spacing w:after="2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Управлінське рішення. Управлінське рішення приймається на основі аналізу отриманої інформації у вигляді наказу, рішення педагогічної ради, ради закладу, розпорядження, вказівки, письмового доручення, припису, інст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>рукції, резолюції тощо і спрямовано на вдосконалення якості освіти в гімназії.</w:t>
      </w:r>
    </w:p>
    <w:p w:rsidR="00DE6022">
      <w:pPr>
        <w:suppressAutoHyphens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 w:bidi="ar-SA"/>
        </w:rPr>
        <w:t xml:space="preserve">                      Директор гімназії                                Марія ГУСАР  </w:t>
      </w:r>
    </w:p>
    <w:p w:rsidR="00DE6022">
      <w:pPr>
        <w:suppressAutoHyphens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 w:eastAsia="en-US" w:bidi="ar-SA"/>
        </w:rPr>
      </w:pPr>
    </w:p>
    <w:sectPr>
      <w:type w:val="nextPage"/>
      <w:pgSz w:w="11906" w:h="16838"/>
      <w:pgMar w:top="850" w:right="850" w:bottom="850" w:left="1417" w:header="0" w:footer="0" w:gutter="0"/>
      <w:pgNumType w:start="1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Times New Roman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06DB8"/>
    <w:multiLevelType w:val="multilevel"/>
    <w:tmpl w:val="E42E3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10902858"/>
    <w:multiLevelType w:val="multilevel"/>
    <w:tmpl w:val="E90AB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15CA1338"/>
    <w:multiLevelType w:val="multilevel"/>
    <w:tmpl w:val="0E30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1B3326EA"/>
    <w:multiLevelType w:val="multilevel"/>
    <w:tmpl w:val="3DE4E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1F715AC9"/>
    <w:multiLevelType w:val="multilevel"/>
    <w:tmpl w:val="4ECA0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26455868"/>
    <w:multiLevelType w:val="multilevel"/>
    <w:tmpl w:val="96804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2C2B1640"/>
    <w:multiLevelType w:val="multilevel"/>
    <w:tmpl w:val="B6E4D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2F3371DF"/>
    <w:multiLevelType w:val="multilevel"/>
    <w:tmpl w:val="6DA60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34C51C67"/>
    <w:multiLevelType w:val="multilevel"/>
    <w:tmpl w:val="9DD8EE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9E2D77"/>
    <w:multiLevelType w:val="multilevel"/>
    <w:tmpl w:val="F95E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4424522E"/>
    <w:multiLevelType w:val="multilevel"/>
    <w:tmpl w:val="0B3EA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nsid w:val="49CC5939"/>
    <w:multiLevelType w:val="multilevel"/>
    <w:tmpl w:val="50E4B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>
    <w:nsid w:val="51F7246C"/>
    <w:multiLevelType w:val="multilevel"/>
    <w:tmpl w:val="EF5AD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>
    <w:nsid w:val="5F452B3D"/>
    <w:multiLevelType w:val="multilevel"/>
    <w:tmpl w:val="0AEC7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>
    <w:nsid w:val="646E1777"/>
    <w:multiLevelType w:val="multilevel"/>
    <w:tmpl w:val="DD326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>
    <w:nsid w:val="6FFE3DB9"/>
    <w:multiLevelType w:val="multilevel"/>
    <w:tmpl w:val="4BE02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>
    <w:nsid w:val="73903A72"/>
    <w:multiLevelType w:val="multilevel"/>
    <w:tmpl w:val="B6A0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5"/>
  </w:num>
  <w:num w:numId="5">
    <w:abstractNumId w:val="7"/>
  </w:num>
  <w:num w:numId="6">
    <w:abstractNumId w:val="11"/>
  </w:num>
  <w:num w:numId="7">
    <w:abstractNumId w:val="16"/>
  </w:num>
  <w:num w:numId="8">
    <w:abstractNumId w:val="2"/>
  </w:num>
  <w:num w:numId="9">
    <w:abstractNumId w:val="14"/>
  </w:num>
  <w:num w:numId="10">
    <w:abstractNumId w:val="13"/>
  </w:num>
  <w:num w:numId="11">
    <w:abstractNumId w:val="3"/>
  </w:num>
  <w:num w:numId="12">
    <w:abstractNumId w:val="12"/>
  </w:num>
  <w:num w:numId="13">
    <w:abstractNumId w:val="4"/>
  </w:num>
  <w:num w:numId="14">
    <w:abstractNumId w:val="15"/>
  </w:num>
  <w:num w:numId="15">
    <w:abstractNumId w:val="0"/>
  </w:num>
  <w:num w:numId="16">
    <w:abstractNumId w:val="1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  <w:rsid w:val="00DE6022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Spacing">
    <w:name w:val="No Spacing"/>
    <w:uiPriority w:val="1"/>
    <w:qFormat/>
    <w:rsid w:val="00BD7C54"/>
    <w:pPr>
      <w:suppressAutoHyphens/>
    </w:pPr>
    <w:rPr>
      <w:rFonts w:asciiTheme="minorHAnsi" w:eastAsiaTheme="minorHAnsi" w:hAnsiTheme="minorHAnsi" w:cstheme="minorBidi"/>
      <w:sz w:val="22"/>
      <w:szCs w:val="22"/>
      <w:lang w:val="uk-UA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yperlink" Target="https://zakon.rada.gov.ua/laws/show/z0244-19" TargetMode="External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