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54" w:rsidRDefault="00BD7C54" w:rsidP="00BD7C54">
      <w:pPr>
        <w:spacing w:after="150" w:line="240" w:lineRule="auto"/>
        <w:jc w:val="right"/>
        <w:rPr>
          <w:rFonts w:ascii="Times New Roman" w:eastAsia="Times New Roman" w:hAnsi="Times New Roman" w:cs="Times New Roman"/>
          <w:b/>
          <w:bCs/>
          <w:color w:val="333333"/>
          <w:szCs w:val="28"/>
          <w:lang w:eastAsia="uk-UA"/>
        </w:rPr>
      </w:pPr>
      <w:r w:rsidRPr="00BD7C54">
        <w:rPr>
          <w:rFonts w:ascii="Times New Roman" w:eastAsia="Times New Roman" w:hAnsi="Times New Roman" w:cs="Times New Roman"/>
          <w:b/>
          <w:bCs/>
          <w:color w:val="333333"/>
          <w:szCs w:val="28"/>
          <w:lang w:eastAsia="uk-UA"/>
        </w:rPr>
        <w:t>ЗАТВЕРДЖЕНО</w:t>
      </w:r>
    </w:p>
    <w:p w:rsidR="00BD7C54" w:rsidRPr="00BD7C54" w:rsidRDefault="00464DF6" w:rsidP="00BD7C54">
      <w:pPr>
        <w:spacing w:after="150" w:line="240" w:lineRule="auto"/>
        <w:jc w:val="right"/>
        <w:rPr>
          <w:rFonts w:ascii="Times New Roman" w:eastAsia="Times New Roman" w:hAnsi="Times New Roman" w:cs="Times New Roman"/>
          <w:bCs/>
          <w:color w:val="333333"/>
          <w:szCs w:val="28"/>
          <w:lang w:eastAsia="uk-UA"/>
        </w:rPr>
      </w:pPr>
      <w:r>
        <w:rPr>
          <w:rFonts w:ascii="Times New Roman" w:eastAsia="Times New Roman" w:hAnsi="Times New Roman" w:cs="Times New Roman"/>
          <w:bCs/>
          <w:color w:val="333333"/>
          <w:szCs w:val="28"/>
          <w:lang w:eastAsia="uk-UA"/>
        </w:rPr>
        <w:t xml:space="preserve">Директор </w:t>
      </w:r>
      <w:proofErr w:type="spellStart"/>
      <w:r>
        <w:rPr>
          <w:rFonts w:ascii="Times New Roman" w:eastAsia="Times New Roman" w:hAnsi="Times New Roman" w:cs="Times New Roman"/>
          <w:bCs/>
          <w:color w:val="333333"/>
          <w:szCs w:val="28"/>
          <w:lang w:eastAsia="uk-UA"/>
        </w:rPr>
        <w:t>Городнен</w:t>
      </w:r>
      <w:r w:rsidR="00BD7C54" w:rsidRPr="00BD7C54">
        <w:rPr>
          <w:rFonts w:ascii="Times New Roman" w:eastAsia="Times New Roman" w:hAnsi="Times New Roman" w:cs="Times New Roman"/>
          <w:bCs/>
          <w:color w:val="333333"/>
          <w:szCs w:val="28"/>
          <w:lang w:eastAsia="uk-UA"/>
        </w:rPr>
        <w:t>ської</w:t>
      </w:r>
      <w:proofErr w:type="spellEnd"/>
      <w:r w:rsidR="00BD7C54" w:rsidRPr="00BD7C54">
        <w:rPr>
          <w:rFonts w:ascii="Times New Roman" w:eastAsia="Times New Roman" w:hAnsi="Times New Roman" w:cs="Times New Roman"/>
          <w:bCs/>
          <w:color w:val="333333"/>
          <w:szCs w:val="28"/>
          <w:lang w:eastAsia="uk-UA"/>
        </w:rPr>
        <w:t xml:space="preserve"> гімназії</w:t>
      </w:r>
    </w:p>
    <w:p w:rsidR="00BD7C54" w:rsidRPr="00BD7C54" w:rsidRDefault="00464DF6" w:rsidP="00BD7C54">
      <w:pPr>
        <w:spacing w:after="150" w:line="240" w:lineRule="auto"/>
        <w:jc w:val="right"/>
        <w:rPr>
          <w:rFonts w:ascii="Times New Roman" w:eastAsia="Times New Roman" w:hAnsi="Times New Roman" w:cs="Times New Roman"/>
          <w:bCs/>
          <w:color w:val="333333"/>
          <w:szCs w:val="28"/>
          <w:lang w:eastAsia="uk-UA"/>
        </w:rPr>
      </w:pPr>
      <w:r>
        <w:rPr>
          <w:rFonts w:ascii="Times New Roman" w:eastAsia="Times New Roman" w:hAnsi="Times New Roman" w:cs="Times New Roman"/>
          <w:bCs/>
          <w:color w:val="333333"/>
          <w:szCs w:val="28"/>
          <w:lang w:eastAsia="uk-UA"/>
        </w:rPr>
        <w:t>__________        Марія Гусар</w:t>
      </w:r>
    </w:p>
    <w:p w:rsidR="00BD7C54" w:rsidRPr="00BD7C54" w:rsidRDefault="00BD7C54" w:rsidP="00BD7C54">
      <w:pPr>
        <w:spacing w:after="150" w:line="240" w:lineRule="auto"/>
        <w:jc w:val="right"/>
        <w:rPr>
          <w:rFonts w:ascii="Times New Roman" w:eastAsia="Times New Roman" w:hAnsi="Times New Roman" w:cs="Times New Roman"/>
          <w:bCs/>
          <w:color w:val="333333"/>
          <w:szCs w:val="28"/>
          <w:lang w:eastAsia="uk-UA"/>
        </w:rPr>
      </w:pPr>
      <w:r w:rsidRPr="00BD7C54">
        <w:rPr>
          <w:rFonts w:ascii="Times New Roman" w:eastAsia="Times New Roman" w:hAnsi="Times New Roman" w:cs="Times New Roman"/>
          <w:bCs/>
          <w:color w:val="333333"/>
          <w:szCs w:val="28"/>
          <w:lang w:eastAsia="uk-UA"/>
        </w:rPr>
        <w:t xml:space="preserve">Наказ </w:t>
      </w:r>
      <w:r w:rsidRPr="00BD7C54">
        <w:rPr>
          <w:rFonts w:ascii="Times New Roman" w:eastAsia="Times New Roman" w:hAnsi="Times New Roman" w:cs="Times New Roman"/>
          <w:bCs/>
          <w:color w:val="333333"/>
          <w:szCs w:val="28"/>
          <w:u w:val="single"/>
          <w:lang w:eastAsia="uk-UA"/>
        </w:rPr>
        <w:t>№ 71/2</w:t>
      </w:r>
      <w:r w:rsidRPr="00BD7C54">
        <w:rPr>
          <w:rFonts w:ascii="Times New Roman" w:eastAsia="Times New Roman" w:hAnsi="Times New Roman" w:cs="Times New Roman"/>
          <w:bCs/>
          <w:color w:val="333333"/>
          <w:szCs w:val="28"/>
          <w:lang w:eastAsia="uk-UA"/>
        </w:rPr>
        <w:t xml:space="preserve"> від </w:t>
      </w:r>
      <w:r w:rsidRPr="00BD7C54">
        <w:rPr>
          <w:rFonts w:ascii="Times New Roman" w:eastAsia="Times New Roman" w:hAnsi="Times New Roman" w:cs="Times New Roman"/>
          <w:bCs/>
          <w:color w:val="333333"/>
          <w:szCs w:val="28"/>
          <w:u w:val="single"/>
          <w:lang w:eastAsia="uk-UA"/>
        </w:rPr>
        <w:t>06.09.2021 р</w:t>
      </w:r>
      <w:r w:rsidRPr="00BD7C54">
        <w:rPr>
          <w:rFonts w:ascii="Times New Roman" w:eastAsia="Times New Roman" w:hAnsi="Times New Roman" w:cs="Times New Roman"/>
          <w:bCs/>
          <w:color w:val="333333"/>
          <w:szCs w:val="28"/>
          <w:lang w:eastAsia="uk-UA"/>
        </w:rPr>
        <w:t>.</w:t>
      </w:r>
    </w:p>
    <w:p w:rsidR="00BD7C54" w:rsidRDefault="00BD7C54" w:rsidP="00BD7C54">
      <w:pPr>
        <w:spacing w:after="150" w:line="240" w:lineRule="auto"/>
        <w:jc w:val="center"/>
        <w:rPr>
          <w:rFonts w:ascii="Arial" w:eastAsia="Times New Roman" w:hAnsi="Arial" w:cs="Arial"/>
          <w:b/>
          <w:bCs/>
          <w:color w:val="333333"/>
          <w:sz w:val="21"/>
          <w:szCs w:val="21"/>
          <w:lang w:eastAsia="uk-UA"/>
        </w:rPr>
      </w:pPr>
    </w:p>
    <w:p w:rsidR="00BD7C54" w:rsidRDefault="00BD7C54" w:rsidP="00BD7C54">
      <w:pPr>
        <w:spacing w:after="150" w:line="240" w:lineRule="auto"/>
        <w:jc w:val="center"/>
        <w:rPr>
          <w:rFonts w:ascii="Arial" w:eastAsia="Times New Roman" w:hAnsi="Arial" w:cs="Arial"/>
          <w:b/>
          <w:bCs/>
          <w:color w:val="333333"/>
          <w:sz w:val="21"/>
          <w:szCs w:val="21"/>
          <w:lang w:eastAsia="uk-UA"/>
        </w:rPr>
      </w:pP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p>
    <w:p w:rsidR="00BD7C54" w:rsidRPr="00BD7C54" w:rsidRDefault="00BD7C54" w:rsidP="00BD7C54">
      <w:pPr>
        <w:spacing w:after="150" w:line="240" w:lineRule="auto"/>
        <w:jc w:val="center"/>
        <w:rPr>
          <w:rFonts w:ascii="Times New Roman" w:eastAsia="Times New Roman" w:hAnsi="Times New Roman" w:cs="Times New Roman"/>
          <w:color w:val="333333"/>
          <w:sz w:val="52"/>
          <w:szCs w:val="52"/>
          <w:lang w:eastAsia="uk-UA"/>
        </w:rPr>
      </w:pPr>
      <w:r>
        <w:rPr>
          <w:rFonts w:ascii="Times New Roman" w:eastAsia="Times New Roman" w:hAnsi="Times New Roman" w:cs="Times New Roman"/>
          <w:b/>
          <w:bCs/>
          <w:color w:val="333333"/>
          <w:sz w:val="52"/>
          <w:szCs w:val="52"/>
          <w:lang w:eastAsia="uk-UA"/>
        </w:rPr>
        <w:t>П</w:t>
      </w:r>
      <w:r w:rsidRPr="00BD7C54">
        <w:rPr>
          <w:rFonts w:ascii="Times New Roman" w:eastAsia="Times New Roman" w:hAnsi="Times New Roman" w:cs="Times New Roman"/>
          <w:b/>
          <w:bCs/>
          <w:color w:val="333333"/>
          <w:sz w:val="52"/>
          <w:szCs w:val="52"/>
          <w:lang w:eastAsia="uk-UA"/>
        </w:rPr>
        <w:t>оложення</w:t>
      </w:r>
    </w:p>
    <w:p w:rsidR="00BD7C54" w:rsidRP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r w:rsidRPr="00BD7C54">
        <w:rPr>
          <w:rFonts w:ascii="Times New Roman" w:eastAsia="Times New Roman" w:hAnsi="Times New Roman" w:cs="Times New Roman"/>
          <w:b/>
          <w:bCs/>
          <w:color w:val="333333"/>
          <w:sz w:val="52"/>
          <w:szCs w:val="52"/>
          <w:lang w:eastAsia="uk-UA"/>
        </w:rPr>
        <w:t>про внутрішню систему забезпечення якості освіт</w:t>
      </w:r>
      <w:r>
        <w:rPr>
          <w:rFonts w:ascii="Times New Roman" w:eastAsia="Times New Roman" w:hAnsi="Times New Roman" w:cs="Times New Roman"/>
          <w:b/>
          <w:bCs/>
          <w:color w:val="333333"/>
          <w:sz w:val="52"/>
          <w:szCs w:val="52"/>
          <w:lang w:eastAsia="uk-UA"/>
        </w:rPr>
        <w:t>и</w:t>
      </w:r>
      <w:r w:rsidRPr="00BD7C54">
        <w:rPr>
          <w:rFonts w:ascii="Times New Roman" w:eastAsia="Times New Roman" w:hAnsi="Times New Roman" w:cs="Times New Roman"/>
          <w:b/>
          <w:bCs/>
          <w:color w:val="333333"/>
          <w:sz w:val="52"/>
          <w:szCs w:val="52"/>
          <w:lang w:eastAsia="uk-UA"/>
        </w:rPr>
        <w:t xml:space="preserve"> </w:t>
      </w:r>
    </w:p>
    <w:p w:rsidR="00BD7C54" w:rsidRDefault="00F935B5" w:rsidP="00BD7C54">
      <w:pPr>
        <w:spacing w:after="150" w:line="240" w:lineRule="auto"/>
        <w:jc w:val="center"/>
        <w:rPr>
          <w:rFonts w:ascii="Times New Roman" w:eastAsia="Times New Roman" w:hAnsi="Times New Roman" w:cs="Times New Roman"/>
          <w:b/>
          <w:bCs/>
          <w:color w:val="333333"/>
          <w:sz w:val="52"/>
          <w:szCs w:val="52"/>
          <w:lang w:eastAsia="uk-UA"/>
        </w:rPr>
      </w:pPr>
      <w:r>
        <w:rPr>
          <w:rFonts w:ascii="Times New Roman" w:eastAsia="Times New Roman" w:hAnsi="Times New Roman" w:cs="Times New Roman"/>
          <w:b/>
          <w:bCs/>
          <w:color w:val="333333"/>
          <w:sz w:val="52"/>
          <w:szCs w:val="52"/>
          <w:lang w:eastAsia="uk-UA"/>
        </w:rPr>
        <w:t xml:space="preserve"> Горо</w:t>
      </w:r>
      <w:proofErr w:type="spellStart"/>
      <w:r>
        <w:rPr>
          <w:rFonts w:ascii="Times New Roman" w:eastAsia="Times New Roman" w:hAnsi="Times New Roman" w:cs="Times New Roman"/>
          <w:b/>
          <w:bCs/>
          <w:color w:val="333333"/>
          <w:sz w:val="52"/>
          <w:szCs w:val="52"/>
          <w:lang w:val="ru-RU" w:eastAsia="uk-UA"/>
        </w:rPr>
        <w:t>дненсько</w:t>
      </w:r>
      <w:proofErr w:type="spellEnd"/>
      <w:r>
        <w:rPr>
          <w:rFonts w:ascii="Times New Roman" w:eastAsia="Times New Roman" w:hAnsi="Times New Roman" w:cs="Times New Roman"/>
          <w:b/>
          <w:bCs/>
          <w:color w:val="333333"/>
          <w:sz w:val="52"/>
          <w:szCs w:val="52"/>
          <w:lang w:eastAsia="uk-UA"/>
        </w:rPr>
        <w:t xml:space="preserve">ї </w:t>
      </w:r>
      <w:r w:rsidR="00BD7C54" w:rsidRPr="00BD7C54">
        <w:rPr>
          <w:rFonts w:ascii="Times New Roman" w:eastAsia="Times New Roman" w:hAnsi="Times New Roman" w:cs="Times New Roman"/>
          <w:b/>
          <w:bCs/>
          <w:color w:val="333333"/>
          <w:sz w:val="52"/>
          <w:szCs w:val="52"/>
          <w:lang w:eastAsia="uk-UA"/>
        </w:rPr>
        <w:t>гімназії</w:t>
      </w: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r>
        <w:rPr>
          <w:rFonts w:ascii="Times New Roman" w:eastAsia="Times New Roman" w:hAnsi="Times New Roman" w:cs="Times New Roman"/>
          <w:b/>
          <w:bCs/>
          <w:color w:val="333333"/>
          <w:sz w:val="52"/>
          <w:szCs w:val="52"/>
          <w:lang w:eastAsia="uk-UA"/>
        </w:rPr>
        <w:t>Любомльської міської ради</w:t>
      </w: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r>
        <w:rPr>
          <w:rFonts w:ascii="Times New Roman" w:eastAsia="Times New Roman" w:hAnsi="Times New Roman" w:cs="Times New Roman"/>
          <w:b/>
          <w:bCs/>
          <w:color w:val="333333"/>
          <w:sz w:val="52"/>
          <w:szCs w:val="52"/>
          <w:lang w:eastAsia="uk-UA"/>
        </w:rPr>
        <w:t>Ковельського району</w:t>
      </w: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r>
        <w:rPr>
          <w:rFonts w:ascii="Times New Roman" w:eastAsia="Times New Roman" w:hAnsi="Times New Roman" w:cs="Times New Roman"/>
          <w:b/>
          <w:bCs/>
          <w:color w:val="333333"/>
          <w:sz w:val="52"/>
          <w:szCs w:val="52"/>
          <w:lang w:eastAsia="uk-UA"/>
        </w:rPr>
        <w:t>Волинської області</w:t>
      </w: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p>
    <w:p w:rsidR="00BD7C54" w:rsidRDefault="00BD7C54" w:rsidP="00BD7C54">
      <w:pPr>
        <w:spacing w:after="150" w:line="240" w:lineRule="auto"/>
        <w:jc w:val="center"/>
        <w:rPr>
          <w:rFonts w:ascii="Times New Roman" w:eastAsia="Times New Roman" w:hAnsi="Times New Roman" w:cs="Times New Roman"/>
          <w:b/>
          <w:bCs/>
          <w:color w:val="333333"/>
          <w:sz w:val="52"/>
          <w:szCs w:val="52"/>
          <w:lang w:eastAsia="uk-UA"/>
        </w:rPr>
      </w:pPr>
    </w:p>
    <w:p w:rsidR="00BD7C54" w:rsidRPr="00BD7C54" w:rsidRDefault="00BD7C54" w:rsidP="00BD7C54">
      <w:pPr>
        <w:spacing w:after="150" w:line="240" w:lineRule="auto"/>
        <w:jc w:val="center"/>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jc w:val="center"/>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jc w:val="center"/>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jc w:val="center"/>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jc w:val="center"/>
        <w:rPr>
          <w:rFonts w:ascii="Times New Roman" w:eastAsia="Times New Roman" w:hAnsi="Times New Roman" w:cs="Times New Roman"/>
          <w:b/>
          <w:bCs/>
          <w:color w:val="333333"/>
          <w:lang w:eastAsia="uk-UA"/>
        </w:rPr>
      </w:pPr>
    </w:p>
    <w:p w:rsidR="00BD7C54" w:rsidRPr="00BD7C54" w:rsidRDefault="00BD7C54" w:rsidP="00BD7C54">
      <w:pPr>
        <w:spacing w:after="150" w:line="240" w:lineRule="auto"/>
        <w:rPr>
          <w:rFonts w:ascii="Times New Roman" w:eastAsia="Times New Roman" w:hAnsi="Times New Roman" w:cs="Times New Roman"/>
          <w:bCs/>
          <w:color w:val="333333"/>
          <w:lang w:eastAsia="uk-UA"/>
        </w:rPr>
      </w:pPr>
      <w:r w:rsidRPr="00BD7C54">
        <w:rPr>
          <w:rFonts w:ascii="Times New Roman" w:eastAsia="Times New Roman" w:hAnsi="Times New Roman" w:cs="Times New Roman"/>
          <w:bCs/>
          <w:color w:val="333333"/>
          <w:lang w:eastAsia="uk-UA"/>
        </w:rPr>
        <w:t>СХВАЛЕНО</w:t>
      </w:r>
    </w:p>
    <w:p w:rsidR="00BD7C54" w:rsidRPr="00BD7C54" w:rsidRDefault="00BD7C54" w:rsidP="00BD7C54">
      <w:pPr>
        <w:pStyle w:val="a3"/>
        <w:spacing w:line="360" w:lineRule="auto"/>
        <w:rPr>
          <w:rFonts w:ascii="Times New Roman" w:hAnsi="Times New Roman" w:cs="Times New Roman"/>
          <w:lang w:eastAsia="uk-UA"/>
        </w:rPr>
      </w:pPr>
      <w:proofErr w:type="spellStart"/>
      <w:r w:rsidRPr="00BD7C54">
        <w:rPr>
          <w:rFonts w:ascii="Times New Roman" w:hAnsi="Times New Roman" w:cs="Times New Roman"/>
          <w:lang w:eastAsia="uk-UA"/>
        </w:rPr>
        <w:t>Педагаогічною</w:t>
      </w:r>
      <w:proofErr w:type="spellEnd"/>
      <w:r w:rsidRPr="00BD7C54">
        <w:rPr>
          <w:rFonts w:ascii="Times New Roman" w:hAnsi="Times New Roman" w:cs="Times New Roman"/>
          <w:lang w:eastAsia="uk-UA"/>
        </w:rPr>
        <w:t xml:space="preserve"> радою</w:t>
      </w:r>
    </w:p>
    <w:p w:rsidR="00BD7C54" w:rsidRPr="00BD7C54" w:rsidRDefault="00F935B5" w:rsidP="00BD7C54">
      <w:pPr>
        <w:pStyle w:val="a3"/>
        <w:spacing w:line="360" w:lineRule="auto"/>
        <w:rPr>
          <w:rFonts w:ascii="Times New Roman" w:hAnsi="Times New Roman" w:cs="Times New Roman"/>
          <w:lang w:eastAsia="uk-UA"/>
        </w:rPr>
      </w:pPr>
      <w:proofErr w:type="spellStart"/>
      <w:r>
        <w:rPr>
          <w:rFonts w:ascii="Times New Roman" w:hAnsi="Times New Roman" w:cs="Times New Roman"/>
          <w:lang w:eastAsia="uk-UA"/>
        </w:rPr>
        <w:t>Городнен</w:t>
      </w:r>
      <w:r w:rsidR="00BD7C54" w:rsidRPr="00BD7C54">
        <w:rPr>
          <w:rFonts w:ascii="Times New Roman" w:hAnsi="Times New Roman" w:cs="Times New Roman"/>
          <w:lang w:eastAsia="uk-UA"/>
        </w:rPr>
        <w:t>ської</w:t>
      </w:r>
      <w:proofErr w:type="spellEnd"/>
      <w:r w:rsidR="00BD7C54" w:rsidRPr="00BD7C54">
        <w:rPr>
          <w:rFonts w:ascii="Times New Roman" w:hAnsi="Times New Roman" w:cs="Times New Roman"/>
          <w:lang w:eastAsia="uk-UA"/>
        </w:rPr>
        <w:t xml:space="preserve"> гімназії</w:t>
      </w:r>
    </w:p>
    <w:p w:rsidR="00BD7C54" w:rsidRPr="00BD7C54" w:rsidRDefault="00BD7C54" w:rsidP="00BD7C54">
      <w:pPr>
        <w:pStyle w:val="a3"/>
        <w:spacing w:line="360" w:lineRule="auto"/>
        <w:rPr>
          <w:rFonts w:ascii="Times New Roman" w:hAnsi="Times New Roman" w:cs="Times New Roman"/>
          <w:lang w:eastAsia="uk-UA"/>
        </w:rPr>
      </w:pPr>
      <w:r w:rsidRPr="00BD7C54">
        <w:rPr>
          <w:rFonts w:ascii="Times New Roman" w:hAnsi="Times New Roman" w:cs="Times New Roman"/>
          <w:lang w:eastAsia="uk-UA"/>
        </w:rPr>
        <w:t>Ковельського району</w:t>
      </w:r>
    </w:p>
    <w:p w:rsidR="00BD7C54" w:rsidRPr="00BD7C54" w:rsidRDefault="00BD7C54" w:rsidP="00BD7C54">
      <w:pPr>
        <w:pStyle w:val="a3"/>
        <w:spacing w:line="360" w:lineRule="auto"/>
        <w:rPr>
          <w:rFonts w:ascii="Times New Roman" w:hAnsi="Times New Roman" w:cs="Times New Roman"/>
          <w:lang w:eastAsia="uk-UA"/>
        </w:rPr>
      </w:pPr>
      <w:r w:rsidRPr="00BD7C54">
        <w:rPr>
          <w:rFonts w:ascii="Times New Roman" w:hAnsi="Times New Roman" w:cs="Times New Roman"/>
          <w:lang w:eastAsia="uk-UA"/>
        </w:rPr>
        <w:t>Волинської області</w:t>
      </w:r>
    </w:p>
    <w:p w:rsidR="00BD7C54" w:rsidRPr="00BD7C54" w:rsidRDefault="00BD7C54" w:rsidP="00BD7C54">
      <w:pPr>
        <w:pStyle w:val="a3"/>
        <w:spacing w:line="360" w:lineRule="auto"/>
        <w:rPr>
          <w:u w:val="single"/>
          <w:lang w:eastAsia="uk-UA"/>
        </w:rPr>
      </w:pPr>
      <w:r w:rsidRPr="00BD7C54">
        <w:rPr>
          <w:rFonts w:ascii="Times New Roman" w:hAnsi="Times New Roman" w:cs="Times New Roman"/>
          <w:lang w:eastAsia="uk-UA"/>
        </w:rPr>
        <w:t xml:space="preserve">Протокол  </w:t>
      </w:r>
      <w:r w:rsidRPr="00BD7C54">
        <w:rPr>
          <w:rFonts w:ascii="Times New Roman" w:hAnsi="Times New Roman" w:cs="Times New Roman"/>
          <w:u w:val="single"/>
          <w:lang w:eastAsia="uk-UA"/>
        </w:rPr>
        <w:t>№1</w:t>
      </w:r>
      <w:r w:rsidRPr="00BD7C54">
        <w:rPr>
          <w:rFonts w:ascii="Times New Roman" w:hAnsi="Times New Roman" w:cs="Times New Roman"/>
          <w:lang w:eastAsia="uk-UA"/>
        </w:rPr>
        <w:t xml:space="preserve"> від  </w:t>
      </w:r>
      <w:r w:rsidRPr="00BD7C54">
        <w:rPr>
          <w:rFonts w:ascii="Times New Roman" w:hAnsi="Times New Roman" w:cs="Times New Roman"/>
          <w:u w:val="single"/>
          <w:lang w:eastAsia="uk-UA"/>
        </w:rPr>
        <w:t>31 .08.2021 р.</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lastRenderedPageBreak/>
        <w:t>І. Загальні положення</w:t>
      </w:r>
    </w:p>
    <w:p w:rsidR="00BD7C54" w:rsidRPr="00BD7C54" w:rsidRDefault="00BD7C54" w:rsidP="00426DB7">
      <w:pPr>
        <w:spacing w:after="150" w:line="240" w:lineRule="auto"/>
        <w:ind w:firstLine="708"/>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Дане положення про внутрішню систему забезпечення якості освітньої діяльності та якості освіти в </w:t>
      </w:r>
      <w:proofErr w:type="spellStart"/>
      <w:r w:rsidR="00F935B5">
        <w:rPr>
          <w:rFonts w:ascii="Times New Roman" w:eastAsia="Times New Roman" w:hAnsi="Times New Roman" w:cs="Times New Roman"/>
          <w:color w:val="333333"/>
          <w:sz w:val="28"/>
          <w:szCs w:val="28"/>
          <w:lang w:eastAsia="uk-UA"/>
        </w:rPr>
        <w:t>Городнен</w:t>
      </w:r>
      <w:r w:rsidR="00BF7D64">
        <w:rPr>
          <w:rFonts w:ascii="Times New Roman" w:eastAsia="Times New Roman" w:hAnsi="Times New Roman" w:cs="Times New Roman"/>
          <w:color w:val="333333"/>
          <w:sz w:val="28"/>
          <w:szCs w:val="28"/>
          <w:lang w:eastAsia="uk-UA"/>
        </w:rPr>
        <w:t>ській</w:t>
      </w:r>
      <w:proofErr w:type="spellEnd"/>
      <w:r w:rsidR="00BF7D64">
        <w:rPr>
          <w:rFonts w:ascii="Times New Roman" w:eastAsia="Times New Roman" w:hAnsi="Times New Roman" w:cs="Times New Roman"/>
          <w:color w:val="333333"/>
          <w:sz w:val="28"/>
          <w:szCs w:val="28"/>
          <w:lang w:eastAsia="uk-UA"/>
        </w:rPr>
        <w:t xml:space="preserve"> </w:t>
      </w:r>
      <w:r w:rsidRPr="00BD7C54">
        <w:rPr>
          <w:rFonts w:ascii="Times New Roman" w:eastAsia="Times New Roman" w:hAnsi="Times New Roman" w:cs="Times New Roman"/>
          <w:color w:val="333333"/>
          <w:sz w:val="28"/>
          <w:szCs w:val="28"/>
          <w:lang w:eastAsia="uk-UA"/>
        </w:rPr>
        <w:t>гімназії</w:t>
      </w:r>
      <w:r w:rsidR="00426DB7" w:rsidRPr="00426DB7">
        <w:rPr>
          <w:rFonts w:ascii="Times New Roman" w:eastAsia="Times New Roman" w:hAnsi="Times New Roman" w:cs="Times New Roman"/>
          <w:color w:val="333333"/>
          <w:sz w:val="28"/>
          <w:szCs w:val="28"/>
          <w:lang w:eastAsia="uk-UA"/>
        </w:rPr>
        <w:t xml:space="preserve"> </w:t>
      </w:r>
      <w:r w:rsidR="00426DB7">
        <w:rPr>
          <w:rFonts w:ascii="Times New Roman" w:eastAsia="Times New Roman" w:hAnsi="Times New Roman" w:cs="Times New Roman"/>
          <w:color w:val="333333"/>
          <w:sz w:val="28"/>
          <w:szCs w:val="28"/>
          <w:lang w:eastAsia="uk-UA"/>
        </w:rPr>
        <w:t>(</w:t>
      </w:r>
      <w:r w:rsidR="00426DB7" w:rsidRPr="00BD7C54">
        <w:rPr>
          <w:rFonts w:ascii="Times New Roman" w:eastAsia="Times New Roman" w:hAnsi="Times New Roman" w:cs="Times New Roman"/>
          <w:color w:val="333333"/>
          <w:sz w:val="28"/>
          <w:szCs w:val="28"/>
          <w:lang w:eastAsia="uk-UA"/>
        </w:rPr>
        <w:t>ВСЗЯО</w:t>
      </w:r>
      <w:r w:rsidRPr="00BD7C54">
        <w:rPr>
          <w:rFonts w:ascii="Times New Roman" w:eastAsia="Times New Roman" w:hAnsi="Times New Roman" w:cs="Times New Roman"/>
          <w:color w:val="333333"/>
          <w:sz w:val="28"/>
          <w:szCs w:val="28"/>
          <w:lang w:eastAsia="uk-UA"/>
        </w:rPr>
        <w:t xml:space="preserve"> </w:t>
      </w:r>
      <w:r w:rsidR="00426DB7">
        <w:rPr>
          <w:rFonts w:ascii="Times New Roman" w:eastAsia="Times New Roman" w:hAnsi="Times New Roman" w:cs="Times New Roman"/>
          <w:color w:val="333333"/>
          <w:sz w:val="28"/>
          <w:szCs w:val="28"/>
          <w:lang w:eastAsia="uk-UA"/>
        </w:rPr>
        <w:t xml:space="preserve">) </w:t>
      </w:r>
      <w:r w:rsidRPr="00BD7C54">
        <w:rPr>
          <w:rFonts w:ascii="Times New Roman" w:eastAsia="Times New Roman" w:hAnsi="Times New Roman" w:cs="Times New Roman"/>
          <w:color w:val="333333"/>
          <w:sz w:val="28"/>
          <w:szCs w:val="28"/>
          <w:lang w:eastAsia="uk-UA"/>
        </w:rPr>
        <w:t>розроблено відповідно до 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та затверджено  педагогічною радою гімназії (протокол №4 від 11.01.2019р)</w:t>
      </w:r>
    </w:p>
    <w:p w:rsidR="00BD7C54" w:rsidRPr="00BD7C54" w:rsidRDefault="00BD7C54" w:rsidP="00BF7D64">
      <w:pPr>
        <w:spacing w:after="150" w:line="240" w:lineRule="auto"/>
        <w:ind w:firstLine="708"/>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w:t>
      </w:r>
      <w:proofErr w:type="spellStart"/>
      <w:r w:rsidRPr="00BD7C54">
        <w:rPr>
          <w:rFonts w:ascii="Times New Roman" w:eastAsia="Times New Roman" w:hAnsi="Times New Roman" w:cs="Times New Roman"/>
          <w:color w:val="333333"/>
          <w:sz w:val="28"/>
          <w:szCs w:val="28"/>
          <w:lang w:eastAsia="uk-UA"/>
        </w:rPr>
        <w:t>Бобровський</w:t>
      </w:r>
      <w:proofErr w:type="spellEnd"/>
      <w:r w:rsidRPr="00BD7C54">
        <w:rPr>
          <w:rFonts w:ascii="Times New Roman" w:eastAsia="Times New Roman" w:hAnsi="Times New Roman" w:cs="Times New Roman"/>
          <w:color w:val="333333"/>
          <w:sz w:val="28"/>
          <w:szCs w:val="28"/>
          <w:lang w:eastAsia="uk-UA"/>
        </w:rPr>
        <w:t xml:space="preserve"> М. В., Горбачов С. І., </w:t>
      </w:r>
      <w:proofErr w:type="spellStart"/>
      <w:r w:rsidRPr="00BD7C54">
        <w:rPr>
          <w:rFonts w:ascii="Times New Roman" w:eastAsia="Times New Roman" w:hAnsi="Times New Roman" w:cs="Times New Roman"/>
          <w:color w:val="333333"/>
          <w:sz w:val="28"/>
          <w:szCs w:val="28"/>
          <w:lang w:eastAsia="uk-UA"/>
        </w:rPr>
        <w:t>Заплотинська</w:t>
      </w:r>
      <w:proofErr w:type="spellEnd"/>
      <w:r w:rsidRPr="00BD7C54">
        <w:rPr>
          <w:rFonts w:ascii="Times New Roman" w:eastAsia="Times New Roman" w:hAnsi="Times New Roman" w:cs="Times New Roman"/>
          <w:color w:val="333333"/>
          <w:sz w:val="28"/>
          <w:szCs w:val="28"/>
          <w:lang w:eastAsia="uk-UA"/>
        </w:rPr>
        <w:t> О. О.).</w:t>
      </w:r>
    </w:p>
    <w:p w:rsidR="00BD7C54" w:rsidRPr="00BD7C54" w:rsidRDefault="00BD7C54" w:rsidP="00426DB7">
      <w:pPr>
        <w:spacing w:after="150" w:line="240" w:lineRule="auto"/>
        <w:ind w:firstLine="708"/>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Внутрішня система забезпечення якості освіти у гімназії </w:t>
      </w:r>
      <w:proofErr w:type="spellStart"/>
      <w:r w:rsidRPr="00BD7C54">
        <w:rPr>
          <w:rFonts w:ascii="Times New Roman" w:eastAsia="Times New Roman" w:hAnsi="Times New Roman" w:cs="Times New Roman"/>
          <w:color w:val="333333"/>
          <w:sz w:val="28"/>
          <w:szCs w:val="28"/>
          <w:lang w:eastAsia="uk-UA"/>
        </w:rPr>
        <w:t>розбудовується</w:t>
      </w:r>
      <w:proofErr w:type="spellEnd"/>
      <w:r w:rsidRPr="00BD7C54">
        <w:rPr>
          <w:rFonts w:ascii="Times New Roman" w:eastAsia="Times New Roman" w:hAnsi="Times New Roman" w:cs="Times New Roman"/>
          <w:color w:val="333333"/>
          <w:sz w:val="28"/>
          <w:szCs w:val="28"/>
          <w:lang w:eastAsia="uk-UA"/>
        </w:rPr>
        <w:t xml:space="preserve"> на виконання статті 41 Закону України «Про освіту» для спрямування та контролю діяльності закладу щодо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Процес створення та реалізації внутрішньої системи забезпечення якості освіти базується на таких принципах:</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автономія закладу освіти;</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академічна доброчесність;</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академічна свобода;</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гнучкість і адаптивність системи освітньої діяльності;</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гуманізм;</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забезпечення якості освіти та якості освітньої діяльності;</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забезпечення рівного доступу до освіти без дискримінації за будь-якими ознаками, у тому числі за ознакою інвалідності;</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демократизм;</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державно-громадське управління;</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доступність для кожного громадянина всіх форм і типів освітніх послуг, що надаються державою;</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proofErr w:type="spellStart"/>
      <w:r w:rsidRPr="00BD7C54">
        <w:rPr>
          <w:rFonts w:ascii="Times New Roman" w:eastAsia="Times New Roman" w:hAnsi="Times New Roman" w:cs="Times New Roman"/>
          <w:color w:val="333333"/>
          <w:sz w:val="28"/>
          <w:szCs w:val="28"/>
          <w:lang w:eastAsia="uk-UA"/>
        </w:rPr>
        <w:t>людиноцентризм</w:t>
      </w:r>
      <w:proofErr w:type="spellEnd"/>
      <w:r w:rsidRPr="00BD7C54">
        <w:rPr>
          <w:rFonts w:ascii="Times New Roman" w:eastAsia="Times New Roman" w:hAnsi="Times New Roman" w:cs="Times New Roman"/>
          <w:color w:val="333333"/>
          <w:sz w:val="28"/>
          <w:szCs w:val="28"/>
          <w:lang w:eastAsia="uk-UA"/>
        </w:rPr>
        <w:t xml:space="preserve">, </w:t>
      </w:r>
      <w:proofErr w:type="spellStart"/>
      <w:r w:rsidRPr="00BD7C54">
        <w:rPr>
          <w:rFonts w:ascii="Times New Roman" w:eastAsia="Times New Roman" w:hAnsi="Times New Roman" w:cs="Times New Roman"/>
          <w:color w:val="333333"/>
          <w:sz w:val="28"/>
          <w:szCs w:val="28"/>
          <w:lang w:eastAsia="uk-UA"/>
        </w:rPr>
        <w:t>дитиноцентризм</w:t>
      </w:r>
      <w:proofErr w:type="spellEnd"/>
      <w:r w:rsidRPr="00BD7C54">
        <w:rPr>
          <w:rFonts w:ascii="Times New Roman" w:eastAsia="Times New Roman" w:hAnsi="Times New Roman" w:cs="Times New Roman"/>
          <w:color w:val="333333"/>
          <w:sz w:val="28"/>
          <w:szCs w:val="28"/>
          <w:lang w:eastAsia="uk-UA"/>
        </w:rPr>
        <w:t>;</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постійне вдосконалення освітньої діяльності;</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свобода у виборі видів, форм і темпу здобуття освіти, освітньої програми, закладу освіти, інших суб’єктів освітньої діяльності;</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урахування впливу зовнішніх чинників;</w:t>
      </w:r>
    </w:p>
    <w:p w:rsidR="00BD7C54" w:rsidRPr="00BD7C54" w:rsidRDefault="00BD7C54" w:rsidP="00BD7C5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цілісність системи управління якістю освіти.</w:t>
      </w:r>
    </w:p>
    <w:p w:rsidR="00BD7C54" w:rsidRPr="00BD7C54" w:rsidRDefault="00BD7C54" w:rsidP="00426DB7">
      <w:pPr>
        <w:spacing w:after="150" w:line="240" w:lineRule="auto"/>
        <w:ind w:firstLine="360"/>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Метою розбудови та функціонування внутрішньої системи забезпечення якості освіти в гімназії є:</w:t>
      </w:r>
    </w:p>
    <w:p w:rsidR="00BD7C54" w:rsidRPr="00BD7C54" w:rsidRDefault="00BD7C54" w:rsidP="00BD7C54">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гарантування якості освіти;</w:t>
      </w:r>
    </w:p>
    <w:p w:rsidR="00BD7C54" w:rsidRPr="00BD7C54" w:rsidRDefault="00BD7C54" w:rsidP="00BD7C54">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формування довіри громади до закладу освіти;</w:t>
      </w:r>
    </w:p>
    <w:p w:rsidR="00BD7C54" w:rsidRPr="00BD7C54" w:rsidRDefault="00BD7C54" w:rsidP="00BD7C54">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постійне та послідовне підвищення якості освіти.</w:t>
      </w:r>
    </w:p>
    <w:p w:rsidR="00BD7C54" w:rsidRPr="00BD7C54" w:rsidRDefault="00BD7C54" w:rsidP="00426DB7">
      <w:pPr>
        <w:spacing w:after="150" w:line="240" w:lineRule="auto"/>
        <w:ind w:firstLine="360"/>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Відповідальність за впровадження ВСЗЯО в гімназії покладається на директора гімназії.</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ІІ. Структура внутрішньої системи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Складовими системи забезпечення якості освіти в гімназії є:</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політика та процедури внутрішньої системи забезпечення якості освіти;</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система та механізми забезпечення академічної доброчесності в закладі освіти;</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критерії, правила і процедури оцінювання здобувачів освіти;</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критерії, правила і процедури оцінювання педагогічної діяльності педагогічних працівників;</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критерії, правила і процедури оцінювання управлінської діяльності керівних працівників закладу освіти;</w:t>
      </w:r>
    </w:p>
    <w:p w:rsidR="00BD7C54" w:rsidRPr="00BD7C54" w:rsidRDefault="00BD7C54" w:rsidP="00BD7C54">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механізми реалізації внутрішньої системи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ІІІ. Політика та процедури забезпечення внутрішньої системи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Політика внутрішньої системи забезпечення якості освіти спрямована на:</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3.1. створення системи та механізмів забезпечення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3.2. забезпечення наявності інформаційних систем для ефективного управління закладом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3.3. забезпечення наявності в закладі освіти необхідних ресурсів для організації освітнього процесу;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3.4. створення в закладі освіти інклюзивного освітнього середовища;</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3.5. запобігання та протидію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(цькуванню);</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3.6. застосування системи внутрішнього моніторингу для відстеження та коригування результатів освітньої діяльності.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3.1. Створення системи та механізмів забезпечення академічної доброчесності (див. розділ ІV);</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3.2. Забезпечення наявності інформаційних систем для ефективного управління закладом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Для ефективного управління гімназія має бути забезпечена такими компонентами інформаційних систем, як:</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сучасна мережа Інтернет;</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технічне забезпечення (комп’ютерне, мультимедійне обладнання, цифрові засоби: проектор, фотокамера, проекційний екран, інтерактивна дошка тощо);</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ліцензовані програмні продукти, електронні освітні ресурси;</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єдиний інформаційний простір закладу (можливість спільного використання суб’єктами освіти наявних у системі електронних ресурсів);</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доступ до наявних освітніх веб-ресурсів (веб-сайти, блоги педагогів, сайт закладу освіти, платформа для дистанційної освіти);</w:t>
      </w:r>
    </w:p>
    <w:p w:rsidR="00BD7C54" w:rsidRPr="00BD7C54" w:rsidRDefault="00BD7C54" w:rsidP="00BD7C54">
      <w:pPr>
        <w:numPr>
          <w:ilvl w:val="0"/>
          <w:numId w:val="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радіо- та телеканали тощо).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3.3. Забезпечення наявності необхідних ресурсів для організації освітнього процесу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Для організації освітнього процесу гімназія має бути забезпечена такими ресурсами, як:</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i/>
          <w:iCs/>
          <w:color w:val="333333"/>
          <w:sz w:val="28"/>
          <w:szCs w:val="28"/>
          <w:lang w:eastAsia="uk-UA"/>
        </w:rPr>
        <w:t>Державний стандарт загальної середньої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i/>
          <w:iCs/>
          <w:color w:val="333333"/>
          <w:sz w:val="28"/>
          <w:szCs w:val="28"/>
          <w:lang w:eastAsia="uk-UA"/>
        </w:rPr>
        <w:t>типові освітні програми;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статут закладу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стратегія розвитку закладу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річний план роботи закладу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освітня програма закладу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штатний розпис закладу освіти;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календарно-тематичне планування;</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методики та технології організації освітнього процесу;</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методики роботи з дітьми з особливими освітніми потребами;</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система матеріального та морального заохочення;</w:t>
      </w:r>
    </w:p>
    <w:p w:rsidR="00BD7C54" w:rsidRPr="00BD7C54" w:rsidRDefault="00BD7C54" w:rsidP="00BD7C54">
      <w:pPr>
        <w:numPr>
          <w:ilvl w:val="0"/>
          <w:numId w:val="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плани підвищення кваліфікації педагогічних працівників.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3.4. Створення в гімназії інклюзивного освітнього середовища</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Створення в гімназії інклюзивного освітнього середовища передбачає:</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організацію </w:t>
      </w:r>
      <w:proofErr w:type="spellStart"/>
      <w:r w:rsidRPr="00BD7C54">
        <w:rPr>
          <w:rFonts w:ascii="Times New Roman" w:eastAsia="Times New Roman" w:hAnsi="Times New Roman" w:cs="Times New Roman"/>
          <w:color w:val="333333"/>
          <w:sz w:val="28"/>
          <w:szCs w:val="28"/>
          <w:lang w:eastAsia="uk-UA"/>
        </w:rPr>
        <w:t>безбар’єрного</w:t>
      </w:r>
      <w:proofErr w:type="spellEnd"/>
      <w:r w:rsidRPr="00BD7C54">
        <w:rPr>
          <w:rFonts w:ascii="Times New Roman" w:eastAsia="Times New Roman" w:hAnsi="Times New Roman" w:cs="Times New Roman"/>
          <w:color w:val="333333"/>
          <w:sz w:val="28"/>
          <w:szCs w:val="28"/>
          <w:lang w:eastAsia="uk-UA"/>
        </w:rPr>
        <w:t xml:space="preserve">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облаштування ресурсної кімнати (організація зони навчання та </w:t>
      </w:r>
      <w:proofErr w:type="spellStart"/>
      <w:r w:rsidRPr="00BD7C54">
        <w:rPr>
          <w:rFonts w:ascii="Times New Roman" w:eastAsia="Times New Roman" w:hAnsi="Times New Roman" w:cs="Times New Roman"/>
          <w:color w:val="333333"/>
          <w:sz w:val="28"/>
          <w:szCs w:val="28"/>
          <w:lang w:eastAsia="uk-UA"/>
        </w:rPr>
        <w:t>побутово</w:t>
      </w:r>
      <w:proofErr w:type="spellEnd"/>
      <w:r w:rsidRPr="00BD7C54">
        <w:rPr>
          <w:rFonts w:ascii="Times New Roman" w:eastAsia="Times New Roman" w:hAnsi="Times New Roman" w:cs="Times New Roman"/>
          <w:color w:val="333333"/>
          <w:sz w:val="28"/>
          <w:szCs w:val="28"/>
          <w:lang w:eastAsia="uk-UA"/>
        </w:rPr>
        <w:t>-практичної зони);</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забезпечення </w:t>
      </w:r>
      <w:proofErr w:type="spellStart"/>
      <w:r w:rsidRPr="00BD7C54">
        <w:rPr>
          <w:rFonts w:ascii="Times New Roman" w:eastAsia="Times New Roman" w:hAnsi="Times New Roman" w:cs="Times New Roman"/>
          <w:color w:val="333333"/>
          <w:sz w:val="28"/>
          <w:szCs w:val="28"/>
          <w:lang w:eastAsia="uk-UA"/>
        </w:rPr>
        <w:t>медіатеки</w:t>
      </w:r>
      <w:proofErr w:type="spellEnd"/>
      <w:r w:rsidRPr="00BD7C54">
        <w:rPr>
          <w:rFonts w:ascii="Times New Roman" w:eastAsia="Times New Roman" w:hAnsi="Times New Roman" w:cs="Times New Roman"/>
          <w:color w:val="333333"/>
          <w:sz w:val="28"/>
          <w:szCs w:val="28"/>
          <w:lang w:eastAsia="uk-UA"/>
        </w:rPr>
        <w:t xml:space="preserve"> мультимедійними засобами для максимального наближення дітей до необхідних джерел інформації;</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створення комплексної системи заходів із супроводу учня з особливими освітніми потребами (корекційно-розвивальні заняття з практичним психологом, вчителем-логопедом, вчителем-дефектологом, вчителем-</w:t>
      </w:r>
      <w:proofErr w:type="spellStart"/>
      <w:r w:rsidRPr="00BD7C54">
        <w:rPr>
          <w:rFonts w:ascii="Times New Roman" w:eastAsia="Times New Roman" w:hAnsi="Times New Roman" w:cs="Times New Roman"/>
          <w:color w:val="333333"/>
          <w:sz w:val="28"/>
          <w:szCs w:val="28"/>
          <w:lang w:eastAsia="uk-UA"/>
        </w:rPr>
        <w:t>реабілітологом</w:t>
      </w:r>
      <w:proofErr w:type="spellEnd"/>
      <w:r w:rsidRPr="00BD7C54">
        <w:rPr>
          <w:rFonts w:ascii="Times New Roman" w:eastAsia="Times New Roman" w:hAnsi="Times New Roman" w:cs="Times New Roman"/>
          <w:color w:val="333333"/>
          <w:sz w:val="28"/>
          <w:szCs w:val="28"/>
          <w:lang w:eastAsia="uk-UA"/>
        </w:rPr>
        <w:t>);</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BD7C54" w:rsidRPr="00BD7C54" w:rsidRDefault="00BD7C54" w:rsidP="00BD7C54">
      <w:pPr>
        <w:numPr>
          <w:ilvl w:val="0"/>
          <w:numId w:val="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 xml:space="preserve">3.5. Запобігання та протидія </w:t>
      </w:r>
      <w:proofErr w:type="spellStart"/>
      <w:r w:rsidRPr="00BD7C54">
        <w:rPr>
          <w:rFonts w:ascii="Times New Roman" w:eastAsia="Times New Roman" w:hAnsi="Times New Roman" w:cs="Times New Roman"/>
          <w:b/>
          <w:bCs/>
          <w:color w:val="333333"/>
          <w:sz w:val="28"/>
          <w:szCs w:val="28"/>
          <w:lang w:eastAsia="uk-UA"/>
        </w:rPr>
        <w:t>булінгу</w:t>
      </w:r>
      <w:proofErr w:type="spellEnd"/>
      <w:r w:rsidRPr="00BD7C54">
        <w:rPr>
          <w:rFonts w:ascii="Times New Roman" w:eastAsia="Times New Roman" w:hAnsi="Times New Roman" w:cs="Times New Roman"/>
          <w:b/>
          <w:bCs/>
          <w:color w:val="333333"/>
          <w:sz w:val="28"/>
          <w:szCs w:val="28"/>
          <w:lang w:eastAsia="uk-UA"/>
        </w:rPr>
        <w:t xml:space="preserve"> (цькуванню)</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Запобігання та протидія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(цькуванню) в гімназії передбачає:</w:t>
      </w:r>
    </w:p>
    <w:p w:rsidR="00BD7C54" w:rsidRPr="00BD7C54" w:rsidRDefault="00BD7C54" w:rsidP="00BD7C54">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розроблення та оприлюднення правил поведінки здобувача освіти в закладі освіти;</w:t>
      </w:r>
    </w:p>
    <w:p w:rsidR="00BD7C54" w:rsidRPr="00BD7C54" w:rsidRDefault="00BD7C54" w:rsidP="00BD7C54">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розроблення та оприлюднення плану заходів, спрямованих на запобігання та протидію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(цькуванню) в закладі освіти;</w:t>
      </w:r>
    </w:p>
    <w:p w:rsidR="00BD7C54" w:rsidRPr="00BD7C54" w:rsidRDefault="00BD7C54" w:rsidP="00BD7C54">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розроблення та оприлюднення порядку подання та розгляду (з дотриманням конфіденційності) заяв про випадки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(цькування) в закладі освіти;</w:t>
      </w:r>
    </w:p>
    <w:p w:rsidR="00BD7C54" w:rsidRPr="00BD7C54" w:rsidRDefault="00BD7C54" w:rsidP="00BD7C54">
      <w:pPr>
        <w:numPr>
          <w:ilvl w:val="0"/>
          <w:numId w:val="7"/>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розроблення та оприлюднення порядку реагування на доведені випадки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(цькування) в гімназії та відповідальності осіб, причетних до </w:t>
      </w:r>
      <w:proofErr w:type="spellStart"/>
      <w:r w:rsidRPr="00BD7C54">
        <w:rPr>
          <w:rFonts w:ascii="Times New Roman" w:eastAsia="Times New Roman" w:hAnsi="Times New Roman" w:cs="Times New Roman"/>
          <w:color w:val="333333"/>
          <w:sz w:val="28"/>
          <w:szCs w:val="28"/>
          <w:lang w:eastAsia="uk-UA"/>
        </w:rPr>
        <w:t>булінгу</w:t>
      </w:r>
      <w:proofErr w:type="spellEnd"/>
      <w:r w:rsidRPr="00BD7C54">
        <w:rPr>
          <w:rFonts w:ascii="Times New Roman" w:eastAsia="Times New Roman" w:hAnsi="Times New Roman" w:cs="Times New Roman"/>
          <w:color w:val="333333"/>
          <w:sz w:val="28"/>
          <w:szCs w:val="28"/>
          <w:lang w:eastAsia="uk-UA"/>
        </w:rPr>
        <w:t xml:space="preserve"> (цькування) тощо.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3.6. Застосування системи внутрішнього моніторингу для відстеження та коригування результатів освітньої діяльності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До складу системи внутрішнього моніторингу належать:</w:t>
      </w:r>
    </w:p>
    <w:p w:rsidR="00BD7C54" w:rsidRPr="00BD7C54" w:rsidRDefault="00BD7C54" w:rsidP="00BD7C54">
      <w:pPr>
        <w:numPr>
          <w:ilvl w:val="0"/>
          <w:numId w:val="8"/>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система внутрішнього моніторингу якості освітньої діяльності та якості освіти;</w:t>
      </w:r>
    </w:p>
    <w:p w:rsidR="00BD7C54" w:rsidRPr="00BD7C54" w:rsidRDefault="00BD7C54" w:rsidP="00BD7C54">
      <w:pPr>
        <w:numPr>
          <w:ilvl w:val="0"/>
          <w:numId w:val="8"/>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система </w:t>
      </w:r>
      <w:proofErr w:type="spellStart"/>
      <w:r w:rsidRPr="00BD7C54">
        <w:rPr>
          <w:rFonts w:ascii="Times New Roman" w:eastAsia="Times New Roman" w:hAnsi="Times New Roman" w:cs="Times New Roman"/>
          <w:color w:val="333333"/>
          <w:sz w:val="28"/>
          <w:szCs w:val="28"/>
          <w:lang w:eastAsia="uk-UA"/>
        </w:rPr>
        <w:t>самооцінювання</w:t>
      </w:r>
      <w:proofErr w:type="spellEnd"/>
      <w:r w:rsidRPr="00BD7C54">
        <w:rPr>
          <w:rFonts w:ascii="Times New Roman" w:eastAsia="Times New Roman" w:hAnsi="Times New Roman" w:cs="Times New Roman"/>
          <w:color w:val="333333"/>
          <w:sz w:val="28"/>
          <w:szCs w:val="28"/>
          <w:lang w:eastAsia="uk-UA"/>
        </w:rPr>
        <w:t xml:space="preserve"> якості педагогічної та управлінської діяльності;</w:t>
      </w:r>
    </w:p>
    <w:p w:rsidR="00BD7C54" w:rsidRPr="00BD7C54" w:rsidRDefault="00BD7C54" w:rsidP="00BD7C54">
      <w:pPr>
        <w:numPr>
          <w:ilvl w:val="0"/>
          <w:numId w:val="8"/>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система оцінювання навчальних досягнень учнів.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Методи збору інформації:</w:t>
      </w:r>
    </w:p>
    <w:p w:rsidR="00BD7C54" w:rsidRPr="00BD7C54" w:rsidRDefault="00BD7C54" w:rsidP="00BD7C54">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Аналіз документів (плани роботи, звіти, протоколи засідань педагогічної ради, класні журнали тощо).</w:t>
      </w:r>
    </w:p>
    <w:p w:rsidR="00BD7C54" w:rsidRPr="00BD7C54" w:rsidRDefault="00BD7C54" w:rsidP="00BD7C54">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Опитування: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анкетування учасників освітнього процесу (педагогів, учнів, батьків);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інтерв’ю (з педагогічними працівниками, представниками учнівського самоврядування);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фокус-групи (з батьками, учнями, представниками учнівського самоврядування, педагогами).</w:t>
      </w:r>
    </w:p>
    <w:p w:rsidR="00BD7C54" w:rsidRPr="00BD7C54" w:rsidRDefault="00BD7C54" w:rsidP="00BD7C54">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Моніторинг:</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 навчальних досягнень здобувачів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педагогічної діяльності (спостереження за проведенням навчальних занять, позакласною роботою тощо);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Інструментарій методів збору інформації:</w:t>
      </w:r>
    </w:p>
    <w:p w:rsidR="00BD7C54" w:rsidRPr="00BD7C54" w:rsidRDefault="00BD7C54" w:rsidP="00BD7C54">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BD7C54" w:rsidRPr="00BD7C54" w:rsidRDefault="00BD7C54" w:rsidP="00BD7C54">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анкети (для педагогів, учнів, батьків);</w:t>
      </w:r>
    </w:p>
    <w:p w:rsidR="00BD7C54" w:rsidRPr="00BD7C54" w:rsidRDefault="00BD7C54" w:rsidP="00BD7C54">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бланки спостереження (за проведенням навчальних занять, позакласною роботою тощо).</w:t>
      </w:r>
    </w:p>
    <w:p w:rsidR="00BD7C54" w:rsidRPr="00BD7C54" w:rsidRDefault="00BD7C54" w:rsidP="00BD7C54">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Система та механізми забезпечення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4.1. Дотримання академічної доброчесності педагогічними працівниками передбачає:</w:t>
      </w:r>
    </w:p>
    <w:p w:rsidR="00BD7C54" w:rsidRPr="00BD7C54" w:rsidRDefault="00BD7C54" w:rsidP="00BD7C5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посилання на джерела інформації у разі використання ідей, розробок, тверджень, відомостей;</w:t>
      </w:r>
    </w:p>
    <w:p w:rsidR="00BD7C54" w:rsidRPr="00BD7C54" w:rsidRDefault="00BD7C54" w:rsidP="00BD7C5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дотримання норм законодавства про авторське право і суміжні права;</w:t>
      </w:r>
    </w:p>
    <w:p w:rsidR="00BD7C54" w:rsidRPr="00BD7C54" w:rsidRDefault="00BD7C54" w:rsidP="00BD7C5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BD7C54" w:rsidRPr="00BD7C54" w:rsidRDefault="00BD7C54" w:rsidP="00BD7C5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контроль за дотриманням академічної доброчесності здобувачами освіти;</w:t>
      </w:r>
    </w:p>
    <w:p w:rsidR="00BD7C54" w:rsidRPr="00BD7C54" w:rsidRDefault="00BD7C54" w:rsidP="00BD7C5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об’єктивне оцінювання результатів навчання.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4.2. Дотримання академічної доброчесності здобувачами освіти передбачає:</w:t>
      </w:r>
    </w:p>
    <w:p w:rsidR="00BD7C54" w:rsidRPr="00BD7C54" w:rsidRDefault="00BD7C54" w:rsidP="00BD7C54">
      <w:pPr>
        <w:numPr>
          <w:ilvl w:val="0"/>
          <w:numId w:val="1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D7C54" w:rsidRPr="00BD7C54" w:rsidRDefault="00BD7C54" w:rsidP="00BD7C54">
      <w:pPr>
        <w:numPr>
          <w:ilvl w:val="0"/>
          <w:numId w:val="1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посилання на джерела інформації у разі використання ідей, розробок, тверджень, відомостей;</w:t>
      </w:r>
    </w:p>
    <w:p w:rsidR="00BD7C54" w:rsidRPr="00BD7C54" w:rsidRDefault="00BD7C54" w:rsidP="00BD7C54">
      <w:pPr>
        <w:numPr>
          <w:ilvl w:val="0"/>
          <w:numId w:val="1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дотримання норм законодавства про авторське право і суміжні права;</w:t>
      </w:r>
    </w:p>
    <w:p w:rsidR="00BD7C54" w:rsidRPr="00BD7C54" w:rsidRDefault="00BD7C54" w:rsidP="00BD7C54">
      <w:pPr>
        <w:numPr>
          <w:ilvl w:val="0"/>
          <w:numId w:val="14"/>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надання достовірної інформації про результати власної навчальної діяльності і джерела інформації.</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4.3. За порушення академічної доброчесності педагогічні працівники гімназії можуть бути притягнені до такої академічної відповідальності:</w:t>
      </w:r>
    </w:p>
    <w:p w:rsidR="00BD7C54" w:rsidRPr="00BD7C54" w:rsidRDefault="00BD7C54" w:rsidP="00BD7C5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відмова в присвоєнні кваліфікаційної категорії;</w:t>
      </w:r>
    </w:p>
    <w:p w:rsidR="00BD7C54" w:rsidRPr="00BD7C54" w:rsidRDefault="00BD7C54" w:rsidP="00BD7C5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позбавлення присвоєної кваліфікаційної категорії;</w:t>
      </w:r>
    </w:p>
    <w:p w:rsidR="00BD7C54" w:rsidRPr="00BD7C54" w:rsidRDefault="00BD7C54" w:rsidP="00BD7C5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відмова в присвоєнні педагогічного звання;</w:t>
      </w:r>
    </w:p>
    <w:p w:rsidR="00BD7C54" w:rsidRPr="00BD7C54" w:rsidRDefault="00BD7C54" w:rsidP="00BD7C5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позбавлення присвоєного педагогічного звання;</w:t>
      </w:r>
    </w:p>
    <w:p w:rsidR="00BD7C54" w:rsidRPr="00BD7C54" w:rsidRDefault="00BD7C54" w:rsidP="00BD7C5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позбавлення права брати участь у роботі визначених законом органів чи займати визначені законом посади.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4.4. За порушення академічної доброчесності здобувачі освіти можуть бути притягнені до такої академічної відповідальності:</w:t>
      </w:r>
    </w:p>
    <w:p w:rsidR="00BD7C54" w:rsidRPr="00BD7C54" w:rsidRDefault="00BD7C54" w:rsidP="00BD7C54">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повторне проходження оцінювання (контрольна, практична, лабораторна роботи, тест, залік тощо);</w:t>
      </w:r>
    </w:p>
    <w:p w:rsidR="00BD7C54" w:rsidRPr="00BD7C54" w:rsidRDefault="00BD7C54" w:rsidP="00BD7C54">
      <w:pPr>
        <w:numPr>
          <w:ilvl w:val="0"/>
          <w:numId w:val="16"/>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повторне проходження відповідного освітнього компонента освітньої програми.</w:t>
      </w:r>
    </w:p>
    <w:p w:rsidR="00BD7C54" w:rsidRPr="00BD7C54" w:rsidRDefault="00BD7C54" w:rsidP="00BD7C54">
      <w:pPr>
        <w:numPr>
          <w:ilvl w:val="0"/>
          <w:numId w:val="17"/>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правила і процедури оцінювання здобувачів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Критерії,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w:t>
      </w:r>
      <w:proofErr w:type="spellStart"/>
      <w:r w:rsidRPr="00BD7C54">
        <w:rPr>
          <w:rFonts w:ascii="Times New Roman" w:eastAsia="Times New Roman" w:hAnsi="Times New Roman" w:cs="Times New Roman"/>
          <w:color w:val="333333"/>
          <w:sz w:val="28"/>
          <w:szCs w:val="28"/>
          <w:lang w:eastAsia="uk-UA"/>
        </w:rPr>
        <w:t>самооцінювання</w:t>
      </w:r>
      <w:proofErr w:type="spellEnd"/>
      <w:r w:rsidRPr="00BD7C54">
        <w:rPr>
          <w:rFonts w:ascii="Times New Roman" w:eastAsia="Times New Roman" w:hAnsi="Times New Roman" w:cs="Times New Roman"/>
          <w:color w:val="333333"/>
          <w:sz w:val="28"/>
          <w:szCs w:val="28"/>
          <w:lang w:eastAsia="uk-UA"/>
        </w:rPr>
        <w:t xml:space="preserve"> (відповідно до наказу МОН України від 20.08.2018  № 924 «Про затвердження методичних рекомендацій щодо оцінювання навчальних досягнень учнів першого класу у Новій українській школі»).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5.2.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другого класу»).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5.3. Оцінювання навчальних досягнень учнів 3-4 класів здійснюється вербально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BD7C54" w:rsidRPr="00BD7C54" w:rsidRDefault="00BD7C54" w:rsidP="00BD7C54">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BD7C54" w:rsidRPr="00BD7C54" w:rsidRDefault="00BD7C54" w:rsidP="00BD7C54">
      <w:pPr>
        <w:numPr>
          <w:ilvl w:val="0"/>
          <w:numId w:val="18"/>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 усіх предметів варіативної складової.</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Оцінювання навчальних досягнень учнів здійснюється за 12-бальною шкалою:</w:t>
      </w:r>
    </w:p>
    <w:p w:rsidR="00BD7C54" w:rsidRPr="00BD7C54" w:rsidRDefault="00BD7C54" w:rsidP="00BD7C54">
      <w:pPr>
        <w:numPr>
          <w:ilvl w:val="0"/>
          <w:numId w:val="19"/>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з предметів інваріантної складової освітніх галузей: «Мови і літератури (</w:t>
      </w:r>
      <w:proofErr w:type="spellStart"/>
      <w:r w:rsidRPr="00BD7C54">
        <w:rPr>
          <w:rFonts w:ascii="Times New Roman" w:eastAsia="Times New Roman" w:hAnsi="Times New Roman" w:cs="Times New Roman"/>
          <w:color w:val="333333"/>
          <w:sz w:val="28"/>
          <w:szCs w:val="28"/>
          <w:lang w:eastAsia="uk-UA"/>
        </w:rPr>
        <w:t>мовний</w:t>
      </w:r>
      <w:proofErr w:type="spellEnd"/>
      <w:r w:rsidRPr="00BD7C54">
        <w:rPr>
          <w:rFonts w:ascii="Times New Roman" w:eastAsia="Times New Roman" w:hAnsi="Times New Roman" w:cs="Times New Roman"/>
          <w:color w:val="333333"/>
          <w:sz w:val="28"/>
          <w:szCs w:val="28"/>
          <w:lang w:eastAsia="uk-UA"/>
        </w:rPr>
        <w:t xml:space="preserve"> і літературний компоненти)», «Математика», «Природознавство».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5.4.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5.5. Оцінювання навчальних досягнень учнів старшої школи здійснюється за 12-бальною системою(шкалою) і його результати позначаються цифрами від 1 до 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Обов’язковому оцінюванню підлягають навчальні досягнення учнів з предметів інваріантної складової навчального плану закладу.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5.6. Державна підсумкова атестація осіб, які здобувають загальну середню освіту в гімназії,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6" w:anchor="n2" w:history="1">
        <w:r w:rsidRPr="00BD7C54">
          <w:rPr>
            <w:rFonts w:ascii="Times New Roman" w:eastAsia="Times New Roman" w:hAnsi="Times New Roman" w:cs="Times New Roman"/>
            <w:color w:val="337AB7"/>
            <w:sz w:val="28"/>
            <w:szCs w:val="28"/>
            <w:lang w:eastAsia="uk-UA"/>
          </w:rPr>
          <w:t>№ 221 від 18.02.2019</w:t>
        </w:r>
      </w:hyperlink>
      <w:r w:rsidRPr="00BD7C54">
        <w:rPr>
          <w:rFonts w:ascii="Times New Roman" w:eastAsia="Times New Roman" w:hAnsi="Times New Roman" w:cs="Times New Roman"/>
          <w:color w:val="333333"/>
          <w:sz w:val="28"/>
          <w:szCs w:val="28"/>
          <w:lang w:eastAsia="uk-UA"/>
        </w:rPr>
        <w:t>).</w:t>
      </w:r>
    </w:p>
    <w:p w:rsidR="00BD7C54" w:rsidRPr="00BD7C54" w:rsidRDefault="00BD7C54" w:rsidP="00BD7C54">
      <w:pPr>
        <w:numPr>
          <w:ilvl w:val="0"/>
          <w:numId w:val="20"/>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правила і процедури оцінювання педагогічної діяльності педагогічних працівників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6.1. Вимога 1. </w:t>
      </w:r>
      <w:r w:rsidRPr="00BD7C54">
        <w:rPr>
          <w:rFonts w:ascii="Times New Roman" w:eastAsia="Times New Roman" w:hAnsi="Times New Roman" w:cs="Times New Roman"/>
          <w:color w:val="333333"/>
          <w:sz w:val="28"/>
          <w:szCs w:val="28"/>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D7C54">
        <w:rPr>
          <w:rFonts w:ascii="Times New Roman" w:eastAsia="Times New Roman" w:hAnsi="Times New Roman" w:cs="Times New Roman"/>
          <w:color w:val="333333"/>
          <w:sz w:val="28"/>
          <w:szCs w:val="28"/>
          <w:lang w:eastAsia="uk-UA"/>
        </w:rPr>
        <w:t>компетентностей</w:t>
      </w:r>
      <w:proofErr w:type="spellEnd"/>
      <w:r w:rsidRPr="00BD7C54">
        <w:rPr>
          <w:rFonts w:ascii="Times New Roman" w:eastAsia="Times New Roman" w:hAnsi="Times New Roman" w:cs="Times New Roman"/>
          <w:color w:val="333333"/>
          <w:sz w:val="28"/>
          <w:szCs w:val="28"/>
          <w:lang w:eastAsia="uk-UA"/>
        </w:rPr>
        <w:t xml:space="preserve"> здобувачів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1.1. Педагогічні працівники планують свою діяльність, аналізують її результативність.</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1.2. Педагогічні працівники застосовують освітні технології, спрямовані на формування ключових </w:t>
      </w:r>
      <w:proofErr w:type="spellStart"/>
      <w:r w:rsidRPr="00BD7C54">
        <w:rPr>
          <w:rFonts w:ascii="Times New Roman" w:eastAsia="Times New Roman" w:hAnsi="Times New Roman" w:cs="Times New Roman"/>
          <w:color w:val="333333"/>
          <w:sz w:val="28"/>
          <w:szCs w:val="28"/>
          <w:lang w:eastAsia="uk-UA"/>
        </w:rPr>
        <w:t>компетентностей</w:t>
      </w:r>
      <w:proofErr w:type="spellEnd"/>
      <w:r w:rsidRPr="00BD7C54">
        <w:rPr>
          <w:rFonts w:ascii="Times New Roman" w:eastAsia="Times New Roman" w:hAnsi="Times New Roman" w:cs="Times New Roman"/>
          <w:color w:val="333333"/>
          <w:sz w:val="28"/>
          <w:szCs w:val="28"/>
          <w:lang w:eastAsia="uk-UA"/>
        </w:rPr>
        <w:t xml:space="preserve"> і наскрізних умінь здобувачів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1.3. Педагогічні працівники беруть участь у формуванні та реалізації індивідуальних освітніх траєкторій для здобувачів освіти (за потреби).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1.5. Педагогічні працівники сприяють формуванню суспільних цінностей у здобувачів освіти у процесі їх навчання, виховання та розвитку.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1.6. Педагогічні працівники використовують інформаційно-комунікаційні технології в освітньому процесі.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6.2. Вимога 2. </w:t>
      </w:r>
      <w:r w:rsidRPr="00BD7C54">
        <w:rPr>
          <w:rFonts w:ascii="Times New Roman" w:eastAsia="Times New Roman" w:hAnsi="Times New Roman" w:cs="Times New Roman"/>
          <w:color w:val="333333"/>
          <w:sz w:val="28"/>
          <w:szCs w:val="28"/>
          <w:lang w:eastAsia="uk-UA"/>
        </w:rPr>
        <w:t>Постійне підвищення професійного рівня і педагогічної майстерності педагогічних працівників.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2.1. Педагогічні працівники забезпечують власний професійний розвиток і підвищення кваліфікації, у тому числі щодо </w:t>
      </w:r>
      <w:proofErr w:type="spellStart"/>
      <w:r w:rsidRPr="00BD7C54">
        <w:rPr>
          <w:rFonts w:ascii="Times New Roman" w:eastAsia="Times New Roman" w:hAnsi="Times New Roman" w:cs="Times New Roman"/>
          <w:color w:val="333333"/>
          <w:sz w:val="28"/>
          <w:szCs w:val="28"/>
          <w:lang w:eastAsia="uk-UA"/>
        </w:rPr>
        <w:t>методик</w:t>
      </w:r>
      <w:proofErr w:type="spellEnd"/>
      <w:r w:rsidRPr="00BD7C54">
        <w:rPr>
          <w:rFonts w:ascii="Times New Roman" w:eastAsia="Times New Roman" w:hAnsi="Times New Roman" w:cs="Times New Roman"/>
          <w:color w:val="333333"/>
          <w:sz w:val="28"/>
          <w:szCs w:val="28"/>
          <w:lang w:eastAsia="uk-UA"/>
        </w:rPr>
        <w:t xml:space="preserve"> роботи з дітьми з особливими освітніми потребами.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6.3. Вимога 3. </w:t>
      </w:r>
      <w:r w:rsidRPr="00BD7C54">
        <w:rPr>
          <w:rFonts w:ascii="Times New Roman" w:eastAsia="Times New Roman" w:hAnsi="Times New Roman" w:cs="Times New Roman"/>
          <w:color w:val="333333"/>
          <w:sz w:val="28"/>
          <w:szCs w:val="28"/>
          <w:lang w:eastAsia="uk-UA"/>
        </w:rPr>
        <w:t>Налагодження співпраці зі здобувачами освіти, їх батьками, працівниками закладу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3.1. Педагогічні працівники діють на засадах педагогіки партнерства.</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3.3. У закладі освіти існує практика педагогічного наставництва, </w:t>
      </w:r>
      <w:proofErr w:type="spellStart"/>
      <w:r w:rsidRPr="00BD7C54">
        <w:rPr>
          <w:rFonts w:ascii="Times New Roman" w:eastAsia="Times New Roman" w:hAnsi="Times New Roman" w:cs="Times New Roman"/>
          <w:color w:val="333333"/>
          <w:sz w:val="28"/>
          <w:szCs w:val="28"/>
          <w:lang w:eastAsia="uk-UA"/>
        </w:rPr>
        <w:t>взаємонавчання</w:t>
      </w:r>
      <w:proofErr w:type="spellEnd"/>
      <w:r w:rsidRPr="00BD7C54">
        <w:rPr>
          <w:rFonts w:ascii="Times New Roman" w:eastAsia="Times New Roman" w:hAnsi="Times New Roman" w:cs="Times New Roman"/>
          <w:color w:val="333333"/>
          <w:sz w:val="28"/>
          <w:szCs w:val="28"/>
          <w:lang w:eastAsia="uk-UA"/>
        </w:rPr>
        <w:t xml:space="preserve"> та інших форм професійної співпраці.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6.4. Вимога 4. </w:t>
      </w:r>
      <w:r w:rsidRPr="00BD7C54">
        <w:rPr>
          <w:rFonts w:ascii="Times New Roman" w:eastAsia="Times New Roman" w:hAnsi="Times New Roman" w:cs="Times New Roman"/>
          <w:color w:val="333333"/>
          <w:sz w:val="28"/>
          <w:szCs w:val="28"/>
          <w:lang w:eastAsia="uk-UA"/>
        </w:rPr>
        <w:t>Організація педагогічної діяльності та навчання здобувачів освіти на засадах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 </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4.1. Педагогічні працівники під час провадження педагогічної та наукової (творчої) діяльності дотримуються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4.2. Педагогічні працівники сприяють дотриманню академічної доброчесності здобувачами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VII. Критерії, правила і процедури оцінювання управлінської діяльності керівних працівників закладу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w:t>
      </w:r>
      <w:r w:rsidRPr="00BD7C54">
        <w:rPr>
          <w:rFonts w:ascii="Times New Roman" w:eastAsia="Times New Roman" w:hAnsi="Times New Roman" w:cs="Times New Roman"/>
          <w:color w:val="333333"/>
          <w:sz w:val="28"/>
          <w:szCs w:val="28"/>
          <w:lang w:eastAsia="uk-UA"/>
        </w:rPr>
        <w:lastRenderedPageBreak/>
        <w:t>Порядку проведення інституційного аудиту закладів загальної середньої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7.1. Вимога 1. </w:t>
      </w:r>
      <w:r w:rsidRPr="00BD7C54">
        <w:rPr>
          <w:rFonts w:ascii="Times New Roman" w:eastAsia="Times New Roman" w:hAnsi="Times New Roman" w:cs="Times New Roman"/>
          <w:color w:val="333333"/>
          <w:sz w:val="28"/>
          <w:szCs w:val="28"/>
          <w:lang w:eastAsia="uk-UA"/>
        </w:rPr>
        <w:t>Наявність стратегії розвитку та системи планування діяльності закладу, моніторинг виконання поставлених цілей і завдань.</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1.1. У закладі освіти затверджено стратегію його розвитку, спрямовану на підвищення якості освітньої діяльності.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 xml:space="preserve">1.3. У закладі освіти здійснюється </w:t>
      </w:r>
      <w:proofErr w:type="spellStart"/>
      <w:r w:rsidRPr="00BD7C54">
        <w:rPr>
          <w:rFonts w:ascii="Times New Roman" w:eastAsia="Times New Roman" w:hAnsi="Times New Roman" w:cs="Times New Roman"/>
          <w:color w:val="333333"/>
          <w:sz w:val="28"/>
          <w:szCs w:val="28"/>
          <w:lang w:eastAsia="uk-UA"/>
        </w:rPr>
        <w:t>самооцінювання</w:t>
      </w:r>
      <w:proofErr w:type="spellEnd"/>
      <w:r w:rsidRPr="00BD7C54">
        <w:rPr>
          <w:rFonts w:ascii="Times New Roman" w:eastAsia="Times New Roman" w:hAnsi="Times New Roman" w:cs="Times New Roman"/>
          <w:color w:val="333333"/>
          <w:sz w:val="28"/>
          <w:szCs w:val="28"/>
          <w:lang w:eastAsia="uk-UA"/>
        </w:rPr>
        <w:t xml:space="preserve"> якості освітньої діяльності на основі стратегії (політики) і процедур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1.4. Керівництво закладу освіти планує та здійснює заходи щодо утримання у належному стані будівель, приміщень, обладнання.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7.2. Вимога 2. </w:t>
      </w:r>
      <w:r w:rsidRPr="00BD7C54">
        <w:rPr>
          <w:rFonts w:ascii="Times New Roman" w:eastAsia="Times New Roman" w:hAnsi="Times New Roman" w:cs="Times New Roman"/>
          <w:color w:val="333333"/>
          <w:sz w:val="28"/>
          <w:szCs w:val="28"/>
          <w:lang w:eastAsia="uk-UA"/>
        </w:rPr>
        <w:t>Формування відносин довіри, прозорості, дотримання етичних норм.</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2.2. Заклад освіти оприлюднює інформацію про свою діяльність на відкритих загальнодоступних ресурсах.</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7.3. Вимога 3</w:t>
      </w:r>
      <w:r w:rsidRPr="00BD7C54">
        <w:rPr>
          <w:rFonts w:ascii="Times New Roman" w:eastAsia="Times New Roman" w:hAnsi="Times New Roman" w:cs="Times New Roman"/>
          <w:color w:val="333333"/>
          <w:sz w:val="28"/>
          <w:szCs w:val="28"/>
          <w:lang w:eastAsia="uk-UA"/>
        </w:rPr>
        <w:t>. Ефективність кадрової політики та забезпечення можливостей для професійного розвитку педагогічних працівників.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3.3. Керівництво закладу освіти сприяє підвищенню кваліфікації педагогічних працівників.</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7.4. Вимога 4. </w:t>
      </w:r>
      <w:r w:rsidRPr="00BD7C54">
        <w:rPr>
          <w:rFonts w:ascii="Times New Roman" w:eastAsia="Times New Roman" w:hAnsi="Times New Roman" w:cs="Times New Roman"/>
          <w:color w:val="333333"/>
          <w:sz w:val="28"/>
          <w:szCs w:val="28"/>
          <w:lang w:eastAsia="uk-UA"/>
        </w:rPr>
        <w:t xml:space="preserve">Організація освітнього процесу на засадах </w:t>
      </w:r>
      <w:proofErr w:type="spellStart"/>
      <w:r w:rsidRPr="00BD7C54">
        <w:rPr>
          <w:rFonts w:ascii="Times New Roman" w:eastAsia="Times New Roman" w:hAnsi="Times New Roman" w:cs="Times New Roman"/>
          <w:color w:val="333333"/>
          <w:sz w:val="28"/>
          <w:szCs w:val="28"/>
          <w:lang w:eastAsia="uk-UA"/>
        </w:rPr>
        <w:t>людиноцентризму</w:t>
      </w:r>
      <w:proofErr w:type="spellEnd"/>
      <w:r w:rsidRPr="00BD7C54">
        <w:rPr>
          <w:rFonts w:ascii="Times New Roman" w:eastAsia="Times New Roman" w:hAnsi="Times New Roman" w:cs="Times New Roman"/>
          <w:color w:val="333333"/>
          <w:sz w:val="28"/>
          <w:szCs w:val="28"/>
          <w:lang w:eastAsia="uk-UA"/>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4.1. У закладі освіти створюються умови для реалізації прав і обов’язків учасників освітнього процесу.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4.2. Управлінські рішення приймаються з урахуванням пропозицій учасників освітнього процесу.</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4.3. Керівництво закладу освіти створює умови для розвитку громадського самоврядування.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4.5. Режим роботи закладу освіти та розклад занять враховують вікові особливості здобувачів освіти, відповідають їх освітнім потребам.</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4.6. У закладі освіти створюються умови для реалізації індивідуальних освітніх траєкторій здобувачів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7.5. Вимога 5. </w:t>
      </w:r>
      <w:r w:rsidRPr="00BD7C54">
        <w:rPr>
          <w:rFonts w:ascii="Times New Roman" w:eastAsia="Times New Roman" w:hAnsi="Times New Roman" w:cs="Times New Roman"/>
          <w:color w:val="333333"/>
          <w:sz w:val="28"/>
          <w:szCs w:val="28"/>
          <w:lang w:eastAsia="uk-UA"/>
        </w:rPr>
        <w:t>Формування та забезпечення реалізації політики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Критерії оцінювання:</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5.1. Заклад освіти впроваджує політику академічної доброчесності.</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5.2. Керівництво закладу освіти сприяє формуванню в учасників освітнього процесу негативного ставлення до корупції.</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b/>
          <w:bCs/>
          <w:color w:val="333333"/>
          <w:sz w:val="28"/>
          <w:szCs w:val="28"/>
          <w:lang w:eastAsia="uk-UA"/>
        </w:rPr>
        <w:t>VIIІ. Механізми реалізації внутрішньої системи забезпечення якості освіти</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Механізми реалізації ВСЗЯО передбачають здійснення періодичного оцінювання компонентів гімназії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гімназії.</w:t>
      </w:r>
    </w:p>
    <w:p w:rsidR="00BD7C54" w:rsidRPr="00BD7C54" w:rsidRDefault="00BD7C54" w:rsidP="00BD7C54">
      <w:pPr>
        <w:spacing w:after="150"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Дані щодо процедури та результатів оцінювання мають узагальнюватися зокрема в таблицях. Компоненти напряму оцінювання. До них віднесено (відповідно до наказу МОН України від 09.01.2019 № 17 «Про затвердження Порядку проведення інституційного аудиту закладів загальної середньої освіти»):</w:t>
      </w:r>
    </w:p>
    <w:p w:rsidR="00BD7C54" w:rsidRPr="00BD7C54" w:rsidRDefault="00BD7C54" w:rsidP="00BD7C54">
      <w:pPr>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BD7C54" w:rsidRPr="00BD7C54" w:rsidRDefault="00BD7C54" w:rsidP="00BD7C54">
      <w:pPr>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BD7C54" w:rsidRPr="00BD7C54" w:rsidRDefault="00BD7C54" w:rsidP="00BD7C54">
      <w:pPr>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lastRenderedPageBreak/>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BD7C54" w:rsidRPr="00BD7C54" w:rsidRDefault="00BD7C54" w:rsidP="00BD7C54">
      <w:pPr>
        <w:numPr>
          <w:ilvl w:val="0"/>
          <w:numId w:val="21"/>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Відповідальні за оцінювання. Ними є не тільки члени адміністрації гімназії,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гімназії, батьківського комітету, учнівського комітету тощо.</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Рівень оцінювання.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BD7C54" w:rsidRPr="00BD7C54" w:rsidRDefault="00BD7C54" w:rsidP="00BD7C54">
      <w:pPr>
        <w:numPr>
          <w:ilvl w:val="0"/>
          <w:numId w:val="22"/>
        </w:numPr>
        <w:spacing w:before="100" w:beforeAutospacing="1" w:after="100" w:afterAutospacing="1" w:line="240" w:lineRule="auto"/>
        <w:jc w:val="both"/>
        <w:rPr>
          <w:rFonts w:ascii="Times New Roman" w:eastAsia="Times New Roman" w:hAnsi="Times New Roman" w:cs="Times New Roman"/>
          <w:color w:val="333333"/>
          <w:sz w:val="28"/>
          <w:szCs w:val="28"/>
          <w:lang w:eastAsia="uk-UA"/>
        </w:rPr>
      </w:pPr>
      <w:r w:rsidRPr="00BD7C54">
        <w:rPr>
          <w:rFonts w:ascii="Times New Roman" w:eastAsia="Times New Roman" w:hAnsi="Times New Roman" w:cs="Times New Roman"/>
          <w:color w:val="333333"/>
          <w:sz w:val="28"/>
          <w:szCs w:val="28"/>
          <w:lang w:eastAsia="uk-UA"/>
        </w:rPr>
        <w:t>Управлінське рішення.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гімназії.</w:t>
      </w:r>
    </w:p>
    <w:p w:rsidR="00BD7C54" w:rsidRPr="00BD7C54" w:rsidRDefault="00426DB7" w:rsidP="00BD7C54">
      <w:pPr>
        <w:spacing w:after="15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BD7C54" w:rsidRPr="00BD7C54">
        <w:rPr>
          <w:rFonts w:ascii="Times New Roman" w:eastAsia="Times New Roman" w:hAnsi="Times New Roman" w:cs="Times New Roman"/>
          <w:color w:val="333333"/>
          <w:sz w:val="28"/>
          <w:szCs w:val="28"/>
          <w:lang w:eastAsia="uk-UA"/>
        </w:rPr>
        <w:t>Директор гімназії        </w:t>
      </w:r>
      <w:r>
        <w:rPr>
          <w:rFonts w:ascii="Times New Roman" w:eastAsia="Times New Roman" w:hAnsi="Times New Roman" w:cs="Times New Roman"/>
          <w:color w:val="333333"/>
          <w:sz w:val="28"/>
          <w:szCs w:val="28"/>
          <w:lang w:eastAsia="uk-UA"/>
        </w:rPr>
        <w:t xml:space="preserve">         </w:t>
      </w:r>
      <w:r w:rsidR="00BD7C54" w:rsidRPr="00BD7C54">
        <w:rPr>
          <w:rFonts w:ascii="Times New Roman" w:eastAsia="Times New Roman" w:hAnsi="Times New Roman" w:cs="Times New Roman"/>
          <w:color w:val="333333"/>
          <w:sz w:val="28"/>
          <w:szCs w:val="28"/>
          <w:lang w:eastAsia="uk-UA"/>
        </w:rPr>
        <w:t xml:space="preserve">               </w:t>
      </w:r>
      <w:r w:rsidR="00F935B5">
        <w:rPr>
          <w:rFonts w:ascii="Times New Roman" w:eastAsia="Times New Roman" w:hAnsi="Times New Roman" w:cs="Times New Roman"/>
          <w:color w:val="333333"/>
          <w:sz w:val="28"/>
          <w:szCs w:val="28"/>
          <w:lang w:eastAsia="uk-UA"/>
        </w:rPr>
        <w:t>Марія ГУСАР</w:t>
      </w:r>
      <w:r w:rsidR="00B2037F">
        <w:rPr>
          <w:rFonts w:ascii="Times New Roman" w:eastAsia="Times New Roman" w:hAnsi="Times New Roman" w:cs="Times New Roman"/>
          <w:color w:val="333333"/>
          <w:sz w:val="28"/>
          <w:szCs w:val="28"/>
          <w:lang w:eastAsia="uk-UA"/>
        </w:rPr>
        <w:t xml:space="preserve">  </w:t>
      </w:r>
      <w:bookmarkStart w:id="0" w:name="_GoBack"/>
      <w:bookmarkEnd w:id="0"/>
    </w:p>
    <w:p w:rsidR="0007344B" w:rsidRPr="00BD7C54" w:rsidRDefault="0007344B">
      <w:pPr>
        <w:rPr>
          <w:rFonts w:ascii="Times New Roman" w:hAnsi="Times New Roman" w:cs="Times New Roman"/>
          <w:sz w:val="28"/>
          <w:szCs w:val="28"/>
        </w:rPr>
      </w:pPr>
    </w:p>
    <w:sectPr w:rsidR="0007344B" w:rsidRPr="00BD7C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96"/>
    <w:multiLevelType w:val="multilevel"/>
    <w:tmpl w:val="5E2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C1BF2"/>
    <w:multiLevelType w:val="multilevel"/>
    <w:tmpl w:val="728A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7F8B"/>
    <w:multiLevelType w:val="multilevel"/>
    <w:tmpl w:val="804E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41D4E"/>
    <w:multiLevelType w:val="multilevel"/>
    <w:tmpl w:val="F18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427EE"/>
    <w:multiLevelType w:val="multilevel"/>
    <w:tmpl w:val="3F1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B53B1"/>
    <w:multiLevelType w:val="multilevel"/>
    <w:tmpl w:val="C86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115E3"/>
    <w:multiLevelType w:val="multilevel"/>
    <w:tmpl w:val="B9C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23D5F"/>
    <w:multiLevelType w:val="multilevel"/>
    <w:tmpl w:val="502C1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51C0C"/>
    <w:multiLevelType w:val="multilevel"/>
    <w:tmpl w:val="5386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A5C31"/>
    <w:multiLevelType w:val="multilevel"/>
    <w:tmpl w:val="3D4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829C7"/>
    <w:multiLevelType w:val="multilevel"/>
    <w:tmpl w:val="E66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7233D"/>
    <w:multiLevelType w:val="multilevel"/>
    <w:tmpl w:val="142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675A3"/>
    <w:multiLevelType w:val="multilevel"/>
    <w:tmpl w:val="639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E4B4B"/>
    <w:multiLevelType w:val="multilevel"/>
    <w:tmpl w:val="9102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82FB0"/>
    <w:multiLevelType w:val="multilevel"/>
    <w:tmpl w:val="3DE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36906"/>
    <w:multiLevelType w:val="multilevel"/>
    <w:tmpl w:val="C34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414D4"/>
    <w:multiLevelType w:val="multilevel"/>
    <w:tmpl w:val="72E8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A3291"/>
    <w:multiLevelType w:val="multilevel"/>
    <w:tmpl w:val="58DC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A4485"/>
    <w:multiLevelType w:val="multilevel"/>
    <w:tmpl w:val="C6B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F6215"/>
    <w:multiLevelType w:val="multilevel"/>
    <w:tmpl w:val="136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C7D55"/>
    <w:multiLevelType w:val="multilevel"/>
    <w:tmpl w:val="19B2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95090"/>
    <w:multiLevelType w:val="multilevel"/>
    <w:tmpl w:val="B4A0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5"/>
  </w:num>
  <w:num w:numId="4">
    <w:abstractNumId w:val="21"/>
  </w:num>
  <w:num w:numId="5">
    <w:abstractNumId w:val="16"/>
  </w:num>
  <w:num w:numId="6">
    <w:abstractNumId w:val="5"/>
  </w:num>
  <w:num w:numId="7">
    <w:abstractNumId w:val="14"/>
  </w:num>
  <w:num w:numId="8">
    <w:abstractNumId w:val="4"/>
  </w:num>
  <w:num w:numId="9">
    <w:abstractNumId w:val="1"/>
  </w:num>
  <w:num w:numId="10">
    <w:abstractNumId w:val="20"/>
  </w:num>
  <w:num w:numId="11">
    <w:abstractNumId w:val="18"/>
  </w:num>
  <w:num w:numId="12">
    <w:abstractNumId w:val="2"/>
  </w:num>
  <w:num w:numId="13">
    <w:abstractNumId w:val="3"/>
  </w:num>
  <w:num w:numId="14">
    <w:abstractNumId w:val="10"/>
  </w:num>
  <w:num w:numId="15">
    <w:abstractNumId w:val="9"/>
  </w:num>
  <w:num w:numId="16">
    <w:abstractNumId w:val="11"/>
  </w:num>
  <w:num w:numId="17">
    <w:abstractNumId w:val="17"/>
  </w:num>
  <w:num w:numId="18">
    <w:abstractNumId w:val="13"/>
  </w:num>
  <w:num w:numId="19">
    <w:abstractNumId w:val="0"/>
  </w:num>
  <w:num w:numId="20">
    <w:abstractNumId w:val="8"/>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03"/>
    <w:rsid w:val="0007344B"/>
    <w:rsid w:val="00426DB7"/>
    <w:rsid w:val="00464DF6"/>
    <w:rsid w:val="00B2037F"/>
    <w:rsid w:val="00BD7C54"/>
    <w:rsid w:val="00BF7D64"/>
    <w:rsid w:val="00E02903"/>
    <w:rsid w:val="00F935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06A2"/>
  <w15:docId w15:val="{2A6CFB5A-5BBA-49D3-8731-1CA9D1E2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C54"/>
    <w:pPr>
      <w:spacing w:after="0" w:line="240" w:lineRule="auto"/>
    </w:pPr>
  </w:style>
  <w:style w:type="paragraph" w:styleId="a4">
    <w:name w:val="Balloon Text"/>
    <w:basedOn w:val="a"/>
    <w:link w:val="a5"/>
    <w:uiPriority w:val="99"/>
    <w:semiHidden/>
    <w:unhideWhenUsed/>
    <w:rsid w:val="00BD7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9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244-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A082-57F8-4D4F-9426-7C3C9A07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3531</Words>
  <Characters>20130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2021-12-21T10:53:00Z</cp:lastPrinted>
  <dcterms:created xsi:type="dcterms:W3CDTF">2021-12-21T07:54:00Z</dcterms:created>
  <dcterms:modified xsi:type="dcterms:W3CDTF">2021-12-21T10:53:00Z</dcterms:modified>
</cp:coreProperties>
</file>