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  <w:highlight w:val="yellow"/>
        </w:rPr>
        <w:t>ТРАВЕНЬ 2026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85"/>
        <w:gridCol w:w="1476"/>
        <w:gridCol w:w="2130"/>
        <w:gridCol w:w="1133"/>
      </w:tblGrid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Зміст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Забезпечення комфортних і безпечних умов навчання та праці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Аналіз відвідування учнями школи за травень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Зарахування учнів до 1 класу. Оформлення особових справ, розміщення наказу на сайті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ійчук Н.І.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1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Перевірка наявності запрошень, сертифікатів та супроводження учнів на основну сесію  ЗНО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Музика С.Ф.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Цільовий інструктаж щодо участі у НМТ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Відпрацювання тренувальних дій відповідно до Порядку раннього попередження та евакуації учасників освітнього процесу в разі нападу або ризику нападу на заклад освіти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https://zakon.rada.gov.ua/laws/show/z1583-23#Text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Цільовий  інструктаж по екскурсіях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Ю.П..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87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щоденно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Вчителі,  Саух С.А..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3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Корекційно-розвивальний тренінг «Правила ведення бесіди та дискусії»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постійно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Матв</w:t>
            </w:r>
            <w:r>
              <w:rPr>
                <w:rFonts w:ascii="Times New Roman" w:hAnsi="Times New Roman"/>
                <w:sz w:val="22"/>
                <w:szCs w:val="22"/>
              </w:rPr>
              <w:t>і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йчук С.Л.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Підготувати акти на списання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15.05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заходів в рамках Тижня дорожнього руху https://surl.li/gxrcz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3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Профілактичні заходи щодо запобіганню правопорушень, пропусків, булінгу, насилля, неетичної поведінки, </w:t>
            </w:r>
            <w:hyperlink r:id="rId2">
              <w:r>
                <w:rPr>
                  <w:sz w:val="22"/>
                  <w:szCs w:val="22"/>
                </w:rPr>
                <w:t>https://surl.li/agfoo</w:t>
              </w:r>
            </w:hyperlink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3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Профілактичні бесіди «захисти себе від кібершахраїв»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https://osvita.diia.gov.ua/courses/attention-cyber-fraudsters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04-08.05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Псих.служба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30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Профілактичні бесіди «Айкос,гло і вейп:нова мода чи смертельна звичка»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22. 05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bookmarkStart w:id="0" w:name="_Hlk72181696"/>
            <w:bookmarkEnd w:id="0"/>
            <w:r>
              <w:rPr>
                <w:rFonts w:ascii="Times New Roman" w:hAnsi="Times New Roman"/>
                <w:bCs/>
                <w:sz w:val="22"/>
                <w:szCs w:val="22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Інформаційна хвилинка для педагогів «Не інвалід, не аутист і не сліпий: комунікуємо про інклюзію правильно»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https://osvitoria.media/experience/ne-invalid-ne-autyst-i-ne-slipyj-komunikuyemo-pro-inklyuziyu-pravylno/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bookmarkStart w:id="1" w:name="_Hlk721816961"/>
            <w:bookmarkStart w:id="2" w:name="_Hlk721816961"/>
            <w:bookmarkEnd w:id="2"/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Повторна діагностика рівня адаптації дезадаптованих учнів 5 класів ( після корекційно-розвивальної роботи) за методиками: тест шкільної тривожності Філіпса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година спілкування “Соціалізація та інформування — це розвиток сучасної особистості”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2-й тижд.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Саух В.О.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548DD4"/>
                <w:sz w:val="22"/>
                <w:szCs w:val="22"/>
                <w:lang w:val="uk-UA"/>
              </w:rPr>
              <w:t>Вахта пам’яті «Безсмертя звитязі людській»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548DD4"/>
                <w:sz w:val="22"/>
                <w:szCs w:val="22"/>
                <w:lang w:val="uk-UA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 xml:space="preserve"> операція «Добрий ранок, ветеране!» (надання допомоги ветеранам);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перегляд хронікально-документальних фільмів, художніх фільмів про події ІІ світової війни;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покладання квітів до пам’ятника загиблим воїнам;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- тематичні та оглядові екскурсії до історико-краєзнавчих музеїв шкіл міста, музеїв;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викладка книг «Тих днів не змеркне слава»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День пам’яті і примирення. Акція “Маки пам’яті”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День Європи в Україні. Години спілкування:  «Парад країн Європи», «Європейський Союз – крок назустріч»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Підготовка та участь у Всеукраїнській дитячо-юнацькій військово-патріотичній грі “Сокіл” (“Джура”)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Усний журнал “Боротися — значить жити, жити — значить боротися”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 w:eastAsia="uk-UA"/>
              </w:rPr>
              <w:t>День вишиванки. Флешмоб “З Україною в серці вишиванку ношу”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04.05-09.05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08.05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09.05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18.05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21.05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Класні керівники, 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пед.орг., уч.самовр.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учителі історії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пед.орг., уч.самовр.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before="0" w:after="0"/>
              <w:ind w:right="-108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Стан дитячого травматизму за навчальний рік.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Міні-лекторій «Це повинен знати кожен». Бесіда  з  учнями  5-11  кл.  про  небезпечні ситуації, які можуть виникнути в період літніх канікул.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Тиждень антиалкогольної та антинаркотичної пропаганди.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Брейн-ринг “Медіаграмотність у сучасному світі”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>Тиждень БЖД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2-й тижд.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3-й тижд.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11.05-15.05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12.05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25.05-29.05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ЗДВР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психолог, КК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учнівське самовряд.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Випуск санбюлетеня «Сонце, повітря вода –наші найкращі друзі»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Свято  Останнього  дзвінка «Школа наша – життя дивограй»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2-й тиждень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учнівське самовряд.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ЗДВР, пед. організ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Впорядкування квітників та клумб на території школи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Продовжувати сортування макулатури, батарейок та кришечок у рамках  проектів ««Екосортировка відходів – запорука чистого довкілля» та «Батарейко, здавайся. Правила утилізації»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пр. 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ЗДВР, кл.керівники, пед.-організатор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Операція «Обеліск» ( трудовий десант по впорядкуванню пам’ятних знаків).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День профорієнтації «На життєвім роздоріжжі». Участь у районному «Ярмарку професій».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04.05-06.05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2-3 тиждень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Адміністрація, кл.керівники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Кл.керівники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uk-UA"/>
              </w:rPr>
              <w:t>День матері. Загальношкільне свято “Матусю, ти — промінчик мій, дарую світло і любов тобі!”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День сім’ї. Фоточелендж “Я пишаюся своєю сім’єю”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Тиждень безбар’єрності.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08.05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15.05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18.05-22.05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Пед.орг., кл.керів.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Пед.орг., кл.керів.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уч. громадянської освіти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Залучення учнів до гурткової роботи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02060"/>
          <w:sz w:val="22"/>
          <w:szCs w:val="22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7"/>
        <w:gridCol w:w="2122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Методичний тренінг «Учні за кордоном.Запезпечуємо права на освіту» https://info.eo.gov.ua/oczinyuvannya-rezultativ-navchannya-uchniv-shho-navchayutsya-za-kordonom/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31.05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Бесіди «Річне оцінювання навчальних досягнень учнів»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18-22.05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Тематичний моніторинг. Результативність роботи з обдарованими та здібними учнями (МР, 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Тематичний моніторинг. Виконання програм за ІІ семестр та рік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Моніторинг результатів досліджень предметів інваріантної складової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Перевірка заповнення класних журналів, журналів інструктажів, факультативних занять(наказ)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00B050"/>
          <w:sz w:val="22"/>
          <w:szCs w:val="22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Наповнення бази електронних педагогічних портфоліо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Комісія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Творчі звіти керівників МО про роботу у 2024-2025 році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Робота над науково-методичним питанням школи. Моніторинг проведеного анкетування і опитування (інформація на МР)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28.05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15.05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Засідання методичної ради;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Відкритий діалог з батьками . Звіт роботи школи за ІІ семестр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Методичні рекомендації </w:t>
            </w: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  <w:t>для батьків щодо психолого-педагогічного супроводу дітей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>
              <w:fldChar w:fldCharType="begin"/>
            </w:r>
            <w:r>
              <w:rPr>
                <w:sz w:val="22"/>
                <w:szCs w:val="22"/>
                <w:lang w:val="en-US"/>
              </w:rPr>
              <w:instrText xml:space="preserve"> HYPERLINK "https://znayshov.com/News/Details/metodychni_rekomendatsii_robota_z_batkamy_u_voiennyi_ta_pisliavoiennyi_chas" \l "google_vignette"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en-US"/>
              </w:rPr>
              <w:t>znayshov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News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Details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metodychni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rekomendatsii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robota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batkamy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u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voiennyi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ta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pisliavoiennyi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chas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en-US"/>
              </w:rPr>
              <w:t>vignette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Засідання Ради школи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1.Про підсумки роботи за навчальний рік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2.Про зміцнення матеріально-технічної бази закладу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="0" w:after="0"/>
              <w:rPr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  <w:lang w:val="uk-UA"/>
              </w:rPr>
              <w:t>Онлайн-тестування «Академічна доброчесність очима дітей  https://resources.quizalize.com/view/quiz/--8398e679-1617-477c-a49c-2f1e35779448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11-14.05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sz w:val="22"/>
          <w:szCs w:val="22"/>
        </w:rPr>
      </w:pPr>
      <w:r>
        <w:rPr>
          <w:rFonts w:ascii="Times New Roman" w:hAnsi="Times New Roman"/>
          <w:b/>
          <w:color w:val="984806"/>
          <w:sz w:val="22"/>
          <w:szCs w:val="22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2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Інструктивно-методична оперативка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Про роботу над річним планом школи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2.Про роботу над освітньою програмою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3.По попереднє навантаження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4.Про використання варіативної складової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5.Про вивчення запитів щодо впровадження поглибленого вивчення предметів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6.Про підготовку до проведення ДПА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7.Про супроводження учнів на ЗНО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8.Про підготовку до оздоровлення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щопонеділка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2" w:hRule="atLeast"/>
        </w:trPr>
        <w:tc>
          <w:tcPr>
            <w:tcW w:w="1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Засідання педради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1. Виконання  рішень попередніх педрад.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2. Про допуск учнів 9 класів до державної підсумкової атестації.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 Про попереднє навантаження вчителів на 2026/2027 навчальний рік.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 Про закінчення навчального року в 1-8,10 класах та перевід  здобувачів освіти на наступний рік навчання.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5. Про нагородження Похвальними листами учнів  ліцею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Підготовка та поширення власних авторських матеріалів на освітніх платформах, ютуб-каналах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27.05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Методична зустріч «НУШ – 8 клас: готуємось завчасно»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15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Проведення тренінгу «Протидія емоційному вигоранню.Скриня ресурсних вправ»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Видати накази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організацію профілактичної роботи та створення безпечних умов під час проведення літньої оздоровчої кампанії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оформлення та видачу документів про освіту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Про</w:t>
            </w:r>
            <w:r>
              <w:rPr>
                <w:rFonts w:eastAsia="Calibri" w:ascii="Times New Roman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  <w:t xml:space="preserve">підсумки проведених заходів з національно-патріотичного виховання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у закладі 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Про підсумки методичної роботи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Про</w:t>
            </w:r>
            <w:r>
              <w:rPr>
                <w:rFonts w:eastAsia="Calibri" w:ascii="Times New Roman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моніторинг стану організації харчування  у закладі 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Про підсумки виховної роботи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Про підсумки організації навчання учнів за індивідуальною формою здобуття освіти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Про стан організації профорієнтаційної роботи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у 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Про підсумки роботи групи подовженого дня у навчальному році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 підсумки  роботи  з обдарованими та здібними дітьми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>у  навчальному році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результати проведених заходів та затвердження Плану заходів із реалізації Концепції безпеки в закладі на  рік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результати проведених заходів та затвердження Плану заходів із реалізації Стратегії розвитку читання в закладі на  рік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0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Про підсумки роботи з охорони праці та безпеки життєдіяльності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у навчальному році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результати комплексного самооцінювання функціонування внутрішньої системи забезпечення якості освіти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 виконання навчальних планів і програм за 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навчальний рік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підсумки проведення контрольних робіт</w:t>
            </w: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 xml:space="preserve">  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української мови 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математики у 5-11 класах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40" w:leader="none"/>
              </w:tabs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 результати перевірки </w:t>
            </w:r>
            <w:r>
              <w:rPr>
                <w:rFonts w:eastAsia="Calibri" w:ascii="Times New Roman" w:hAnsi="Times New Roman"/>
                <w:sz w:val="22"/>
                <w:szCs w:val="22"/>
                <w:lang w:eastAsia="en-US"/>
              </w:rPr>
              <w:t>ведення  електронного класного журналу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 призначення комісії  щодо перевірки  об’єктивності та відповідності виставлених балів до документів </w:t>
            </w: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  <w:t>про базову загальну середню освіту та повну загальну середню освіту у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 навчальному році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зарахування учнів до 1 класу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підсумки роботи бібліотеки в поточному навчальному році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проведення заходів щодо запобігання нещасних випадків під час проведення навчальних екскурсій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роботу пришкільного табору з денним перебуванням дітей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підсумки внутрішньошкільного контролю за семестр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підсумки роботи гуртків</w:t>
            </w: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  <w:t xml:space="preserve"> у</w:t>
            </w:r>
            <w:r>
              <w:rPr>
                <w:rFonts w:eastAsia="Calibri" w:ascii="Times New Roman" w:hAnsi="Times New Roman"/>
                <w:color w:val="00000A"/>
                <w:sz w:val="22"/>
                <w:szCs w:val="22"/>
                <w:lang w:eastAsia="en-US"/>
              </w:rPr>
              <w:t xml:space="preserve">  навчальному році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Про стан педагогічного керівництва роботою учнівського самоврядування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 попередній розподіл педагогічного навантаження Про безпеку життєдіяльності учасників освітнього процесу в період літніх канікул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 31.05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Зінченко М.В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«Просто про складне». Перегляд мультфільмів про доброчесність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https://nus.org.ua/articles/prosto-pro-skladne-15-multfilmiv-pro-dobrochesnist-yaki-mozhna-pokazaty-dityam/</w:t>
            </w:r>
            <w:bookmarkStart w:id="3" w:name="_GoBack"/>
            <w:bookmarkEnd w:id="3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sz w:val="22"/>
          <w:szCs w:val="22"/>
        </w:rPr>
      </w:pPr>
      <w:r>
        <w:rPr/>
      </w:r>
    </w:p>
    <w:sectPr>
      <w:type w:val="nextPage"/>
      <w:pgSz w:orient="landscape" w:w="16838" w:h="11906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2" w:customStyle="1">
    <w:name w:val="Основний текст (2)_"/>
    <w:link w:val="21"/>
    <w:qFormat/>
    <w:rsid w:val="002a2298"/>
    <w:rPr>
      <w:rFonts w:ascii="Times New Roman" w:hAnsi="Times New Roman"/>
      <w:sz w:val="28"/>
      <w:szCs w:val="28"/>
      <w:shd w:fill="FFFFFF" w:val="clear"/>
    </w:rPr>
  </w:style>
  <w:style w:type="character" w:styleId="Style13" w:customStyle="1">
    <w:name w:val="Текст у виносці Знак"/>
    <w:link w:val="BalloonText"/>
    <w:uiPriority w:val="99"/>
    <w:semiHidden/>
    <w:qFormat/>
    <w:rsid w:val="002a2298"/>
    <w:rPr>
      <w:rFonts w:ascii="Segoe UI" w:hAnsi="Segoe UI" w:cs="Segoe UI"/>
      <w:sz w:val="18"/>
      <w:szCs w:val="18"/>
      <w:lang w:val="uk-UA"/>
    </w:rPr>
  </w:style>
  <w:style w:type="character" w:styleId="Style14">
    <w:name w:val="Hyperlink"/>
    <w:uiPriority w:val="99"/>
    <w:unhideWhenUsed/>
    <w:rsid w:val="00f42a51"/>
    <w:rPr>
      <w:color w:val="0000FF"/>
      <w:u w:val="single"/>
    </w:rPr>
  </w:style>
  <w:style w:type="character" w:styleId="Lewnzc">
    <w:name w:val="lewnzc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f7525"/>
    <w:pPr>
      <w:spacing w:before="0" w:after="200"/>
      <w:ind w:left="720" w:hanging="0"/>
      <w:contextualSpacing/>
    </w:pPr>
    <w:rPr>
      <w:lang w:eastAsia="en-US"/>
    </w:rPr>
  </w:style>
  <w:style w:type="paragraph" w:styleId="21" w:customStyle="1">
    <w:name w:val="Основний текст (2)"/>
    <w:basedOn w:val="Normal"/>
    <w:link w:val="2"/>
    <w:qFormat/>
    <w:rsid w:val="002a2298"/>
    <w:pPr>
      <w:widowControl w:val="false"/>
      <w:shd w:val="clear" w:color="auto" w:fill="FFFFFF"/>
      <w:spacing w:lineRule="atLeast" w:line="0" w:before="0" w:after="840"/>
    </w:pPr>
    <w:rPr>
      <w:rFonts w:ascii="Times New Roman" w:hAnsi="Times New Roman"/>
      <w:sz w:val="28"/>
      <w:szCs w:val="28"/>
      <w:lang w:val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a22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rl.li/agfo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LibreOffice/7.4.2.3$Windows_X86_64 LibreOffice_project/382eef1f22670f7f4118c8c2dd222ec7ad009daf</Application>
  <AppVersion>15.0000</AppVersion>
  <Pages>5</Pages>
  <Words>1447</Words>
  <Characters>10810</Characters>
  <CharactersWithSpaces>12046</CharactersWithSpaces>
  <Paragraphs>282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uk-UA</dc:language>
  <cp:lastModifiedBy/>
  <dcterms:modified xsi:type="dcterms:W3CDTF">2025-09-19T11:25:03Z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