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61" w:rsidRPr="000A2B61" w:rsidRDefault="000A2B61" w:rsidP="000A2B61">
      <w:pPr>
        <w:shd w:val="clear" w:color="auto" w:fill="FFFFFF"/>
        <w:spacing w:after="0" w:line="240" w:lineRule="auto"/>
        <w:jc w:val="right"/>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ЗАТВЕРДЖЕНО</w:t>
      </w:r>
      <w:r w:rsidRPr="000A2B61">
        <w:rPr>
          <w:rFonts w:ascii="Arial" w:eastAsia="Times New Roman" w:hAnsi="Arial" w:cs="Arial"/>
          <w:color w:val="000000"/>
          <w:sz w:val="21"/>
          <w:szCs w:val="21"/>
          <w:lang w:eastAsia="uk-UA"/>
        </w:rPr>
        <w:br/>
        <w:t>Наказ Міністерства освіти і науки України</w:t>
      </w:r>
      <w:r w:rsidRPr="000A2B61">
        <w:rPr>
          <w:rFonts w:ascii="Arial" w:eastAsia="Times New Roman" w:hAnsi="Arial" w:cs="Arial"/>
          <w:color w:val="000000"/>
          <w:sz w:val="21"/>
          <w:szCs w:val="21"/>
          <w:lang w:eastAsia="uk-UA"/>
        </w:rPr>
        <w:br/>
        <w:t>27.08.2019 № 1154</w:t>
      </w:r>
    </w:p>
    <w:p w:rsidR="000A2B61" w:rsidRPr="000A2B61" w:rsidRDefault="000A2B61" w:rsidP="000A2B61">
      <w:pPr>
        <w:shd w:val="clear" w:color="auto" w:fill="FFFFFF"/>
        <w:spacing w:after="0" w:line="240" w:lineRule="auto"/>
        <w:jc w:val="center"/>
        <w:rPr>
          <w:rFonts w:ascii="Arial" w:eastAsia="Times New Roman" w:hAnsi="Arial" w:cs="Arial"/>
          <w:color w:val="000000"/>
          <w:sz w:val="21"/>
          <w:szCs w:val="21"/>
          <w:lang w:eastAsia="uk-UA"/>
        </w:rPr>
      </w:pPr>
      <w:r w:rsidRPr="000A2B61">
        <w:rPr>
          <w:rFonts w:ascii="Arial" w:eastAsia="Times New Roman" w:hAnsi="Arial" w:cs="Arial"/>
          <w:b/>
          <w:bCs/>
          <w:color w:val="000000"/>
          <w:sz w:val="21"/>
          <w:szCs w:val="21"/>
          <w:bdr w:val="none" w:sz="0" w:space="0" w:color="auto" w:frame="1"/>
          <w:lang w:eastAsia="uk-UA"/>
        </w:rPr>
        <w:t>Методичні рекомендації щодо оцінювання навчальних досягнень учнів другого класу</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Важливим компонентом освітнього процесу в початкових класах є оцінювальна діяльність, що здійснюється на засадах </w:t>
      </w:r>
      <w:proofErr w:type="spellStart"/>
      <w:r w:rsidRPr="000A2B61">
        <w:rPr>
          <w:rFonts w:ascii="Arial" w:eastAsia="Times New Roman" w:hAnsi="Arial" w:cs="Arial"/>
          <w:color w:val="000000"/>
          <w:sz w:val="21"/>
          <w:szCs w:val="21"/>
          <w:lang w:eastAsia="uk-UA"/>
        </w:rPr>
        <w:t>компетентнісного</w:t>
      </w:r>
      <w:proofErr w:type="spellEnd"/>
      <w:r w:rsidRPr="000A2B61">
        <w:rPr>
          <w:rFonts w:ascii="Arial" w:eastAsia="Times New Roman" w:hAnsi="Arial" w:cs="Arial"/>
          <w:color w:val="000000"/>
          <w:sz w:val="21"/>
          <w:szCs w:val="21"/>
          <w:lang w:eastAsia="uk-UA"/>
        </w:rPr>
        <w:t>, діяльнісного, суб'єкт-суб'єктного підходів та передбачає партнерську взаємодію вчителя, учнів та їхніх батьків або інших законних представників (далі - батьки). Основними функціями оцінювання є мотиваційна, діагностична, коригувальна, прогностична, розвивальна, навчальна, виховна, управлінська.</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у других класах здійснюється вербально.</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 є невід'ємним складником освітнього процесу та здійснюється постійно.</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Формувальне оцінювання передбачає організацію учителем діяльності учнів щодо усвідомлення ними цілей та очікуваних результатів навчання, способів їх досягнення та визначення подальших навчальних дій щодо покращення досягнень за результатами зворотного зв'язку.</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Застосування формувального оцінювання уможливлює розв'язання таких освітніх завдань:</w:t>
      </w:r>
    </w:p>
    <w:p w:rsidR="000A2B61" w:rsidRPr="000A2B61" w:rsidRDefault="000A2B61" w:rsidP="000A2B6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підтримання бажання вчитися та прагнути максимально можливих результатів;</w:t>
      </w:r>
    </w:p>
    <w:p w:rsidR="000A2B61" w:rsidRPr="000A2B61" w:rsidRDefault="000A2B61" w:rsidP="000A2B6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сприяння оптимальному темпу здобуття освіти учнів;</w:t>
      </w:r>
    </w:p>
    <w:p w:rsidR="000A2B61" w:rsidRPr="000A2B61" w:rsidRDefault="000A2B61" w:rsidP="000A2B6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формування в учнів упевненості у собі, усвідомлення своїх сильних сторін;</w:t>
      </w:r>
    </w:p>
    <w:p w:rsidR="000A2B61" w:rsidRPr="000A2B61" w:rsidRDefault="000A2B61" w:rsidP="000A2B6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формування в учнів рефлексивного ставлення до власних помилок і розуміння їх як невід'ємних етапів на шляху досягнення успіху;</w:t>
      </w:r>
    </w:p>
    <w:p w:rsidR="000A2B61" w:rsidRPr="000A2B61" w:rsidRDefault="000A2B61" w:rsidP="000A2B6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забезпечення постійного зворотного зв'язку щодо сприйняття та розуміння учнями навчального матеріалу;</w:t>
      </w:r>
    </w:p>
    <w:p w:rsidR="000A2B61" w:rsidRPr="000A2B61" w:rsidRDefault="000A2B61" w:rsidP="000A2B6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здійснення діагностування особистісного розвитку та навчальних досягнень учнів на кожному з етапів навчання.</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Об'єктами формувального оцінювання є процес навчання учнів, а також результат навчальної діяльності на певному етапі навчання.</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Провідна роль у формувальному оцінюванні належить критеріям,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Орієнтирами для визначення критеріїв формувального оцінювання є вимоги до обов'язкових результатів навчання та </w:t>
      </w:r>
      <w:proofErr w:type="spellStart"/>
      <w:r w:rsidRPr="000A2B61">
        <w:rPr>
          <w:rFonts w:ascii="Arial" w:eastAsia="Times New Roman" w:hAnsi="Arial" w:cs="Arial"/>
          <w:color w:val="000000"/>
          <w:sz w:val="21"/>
          <w:szCs w:val="21"/>
          <w:lang w:eastAsia="uk-UA"/>
        </w:rPr>
        <w:t>компетентностей</w:t>
      </w:r>
      <w:proofErr w:type="spellEnd"/>
      <w:r w:rsidRPr="000A2B61">
        <w:rPr>
          <w:rFonts w:ascii="Arial" w:eastAsia="Times New Roman" w:hAnsi="Arial" w:cs="Arial"/>
          <w:color w:val="000000"/>
          <w:sz w:val="21"/>
          <w:szCs w:val="21"/>
          <w:lang w:eastAsia="uk-UA"/>
        </w:rPr>
        <w:t xml:space="preserve"> учнів початкової школи, визначені Державним стандартом початкової освіти до першого циклу навчання (1 - 2 класи), і очікувані результати, зазначені в освітній програмі закладу загальної середньої освіти.</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Під час здійснення формувального оцінювання важливо не протиставляти дітей один одному. Стимулом розвитку має бути співвідношення роботи (відповіді, дії тощо) з тим, як дитина працювала раніше. Доцільно акцентувати увагу лише на позитивній динаміці досягнень учнів, враховувати, що оцінюється не учень, а його робота. Про складнощі у навчанні необхідно говорити з учнем індивідуально, аби не створювати ситуацію колективної зневаги до дитини та передумови </w:t>
      </w:r>
      <w:proofErr w:type="spellStart"/>
      <w:r w:rsidRPr="000A2B61">
        <w:rPr>
          <w:rFonts w:ascii="Arial" w:eastAsia="Times New Roman" w:hAnsi="Arial" w:cs="Arial"/>
          <w:color w:val="000000"/>
          <w:sz w:val="21"/>
          <w:szCs w:val="21"/>
          <w:lang w:eastAsia="uk-UA"/>
        </w:rPr>
        <w:t>булінгу</w:t>
      </w:r>
      <w:proofErr w:type="spellEnd"/>
      <w:r w:rsidRPr="000A2B61">
        <w:rPr>
          <w:rFonts w:ascii="Arial" w:eastAsia="Times New Roman" w:hAnsi="Arial" w:cs="Arial"/>
          <w:color w:val="000000"/>
          <w:sz w:val="21"/>
          <w:szCs w:val="21"/>
          <w:lang w:eastAsia="uk-UA"/>
        </w:rPr>
        <w:t>. Звертаємо увагу, що індивідуальні особливості дитини можуть впливати на її темп здобуття освіти, внаслідок чого вона може досягати визначених для певного етапу навчання очікуваних результатів раніше або пізніше, тому календарно-тематичне планування освітнього процесу має бути гнучким і динамічним, зорієнтованим на сприяння поступу учнів за індивідуальною траєкторією навчання та розвитку.</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Формувальне оцінювання здійснюється шляхом:</w:t>
      </w:r>
    </w:p>
    <w:p w:rsidR="000A2B61" w:rsidRPr="000A2B61" w:rsidRDefault="000A2B61" w:rsidP="000A2B61">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педагогічного спостереження учителя за навчальною та іншими видами діяльності учнів;</w:t>
      </w:r>
    </w:p>
    <w:p w:rsidR="000A2B61" w:rsidRPr="000A2B61" w:rsidRDefault="000A2B61" w:rsidP="000A2B61">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lastRenderedPageBreak/>
        <w:t>аналізу учнівських портфоліо, попередніх навчальних досягнень учнів, результатів їхніх діагностичних робіт;</w:t>
      </w:r>
    </w:p>
    <w:p w:rsidR="000A2B61" w:rsidRPr="000A2B61" w:rsidRDefault="000A2B61" w:rsidP="000A2B61">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proofErr w:type="spellStart"/>
      <w:r w:rsidRPr="000A2B61">
        <w:rPr>
          <w:rFonts w:ascii="Arial" w:eastAsia="Times New Roman" w:hAnsi="Arial" w:cs="Arial"/>
          <w:color w:val="000000"/>
          <w:sz w:val="21"/>
          <w:szCs w:val="21"/>
          <w:lang w:eastAsia="uk-UA"/>
        </w:rPr>
        <w:t>самооцінювання</w:t>
      </w:r>
      <w:proofErr w:type="spellEnd"/>
      <w:r w:rsidRPr="000A2B61">
        <w:rPr>
          <w:rFonts w:ascii="Arial" w:eastAsia="Times New Roman" w:hAnsi="Arial" w:cs="Arial"/>
          <w:color w:val="000000"/>
          <w:sz w:val="21"/>
          <w:szCs w:val="21"/>
          <w:lang w:eastAsia="uk-UA"/>
        </w:rPr>
        <w:t xml:space="preserve"> та </w:t>
      </w:r>
      <w:proofErr w:type="spellStart"/>
      <w:r w:rsidRPr="000A2B61">
        <w:rPr>
          <w:rFonts w:ascii="Arial" w:eastAsia="Times New Roman" w:hAnsi="Arial" w:cs="Arial"/>
          <w:color w:val="000000"/>
          <w:sz w:val="21"/>
          <w:szCs w:val="21"/>
          <w:lang w:eastAsia="uk-UA"/>
        </w:rPr>
        <w:t>взаємооцінювання</w:t>
      </w:r>
      <w:proofErr w:type="spellEnd"/>
      <w:r w:rsidRPr="000A2B61">
        <w:rPr>
          <w:rFonts w:ascii="Arial" w:eastAsia="Times New Roman" w:hAnsi="Arial" w:cs="Arial"/>
          <w:color w:val="000000"/>
          <w:sz w:val="21"/>
          <w:szCs w:val="21"/>
          <w:lang w:eastAsia="uk-UA"/>
        </w:rPr>
        <w:t xml:space="preserve"> результатів діяльності учнів;</w:t>
      </w:r>
    </w:p>
    <w:p w:rsidR="000A2B61" w:rsidRPr="000A2B61" w:rsidRDefault="000A2B61" w:rsidP="000A2B61">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оцінювання особистісного розвитку та соціалізації учнів їхніми батьками;</w:t>
      </w:r>
    </w:p>
    <w:p w:rsidR="000A2B61" w:rsidRPr="000A2B61" w:rsidRDefault="000A2B61" w:rsidP="000A2B61">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застосування прийомів отримання зворотного зв'язку щодо сприйняття та розуміння учнями навчального матеріалу («Світлофор», «Мікрофон», «Вихідних квиток» тощо).</w:t>
      </w:r>
    </w:p>
    <w:p w:rsidR="000A2B61" w:rsidRPr="000A2B61" w:rsidRDefault="000A2B61" w:rsidP="000A2B61">
      <w:pPr>
        <w:shd w:val="clear" w:color="auto" w:fill="FFFFFF"/>
        <w:spacing w:after="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У другому класі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 що було запропоновано у Методичних рекомендаціях щодо орієнтовних вимог до оцінювання навчальних досягнень учнів першого класу, затверджених наказом Міністерства освіти і науки України від 20.08.2018 </w:t>
      </w:r>
      <w:hyperlink r:id="rId6" w:history="1">
        <w:r w:rsidRPr="000A2B61">
          <w:rPr>
            <w:rFonts w:ascii="Arial" w:eastAsia="Times New Roman" w:hAnsi="Arial" w:cs="Arial"/>
            <w:color w:val="8C8282"/>
            <w:sz w:val="21"/>
            <w:szCs w:val="21"/>
            <w:bdr w:val="none" w:sz="0" w:space="0" w:color="auto" w:frame="1"/>
            <w:lang w:eastAsia="uk-UA"/>
          </w:rPr>
          <w:t>№ 924</w:t>
        </w:r>
      </w:hyperlink>
      <w:r w:rsidRPr="000A2B61">
        <w:rPr>
          <w:rFonts w:ascii="Arial" w:eastAsia="Times New Roman" w:hAnsi="Arial" w:cs="Arial"/>
          <w:color w:val="000000"/>
          <w:sz w:val="21"/>
          <w:szCs w:val="21"/>
          <w:lang w:eastAsia="uk-UA"/>
        </w:rPr>
        <w:t>.</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Педагогічне спостереження за навчальною та іншими видами діяльності учня здійснюється учителем протягом року. Залежно від мети спостереження, вчитель може оцінювати дітей в різноманітних ситуаціях, коли вони працюють в парі, групі, індивідуально. Оцінюються також не тільки навчальні результати учня, але і його активність, зацікавленість, мотивація, що є також важливими цілями у початковій школі.</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Результати педагогічних спостережень (зміни в поведінці учня, його емоційних реакціях, мотивації, вольових проявах, зниження чи підвищення результативності навчальної діяльності тощо) рекомендуємо фіксувати у зошиті спостережень учителя. Ці нотатки дозволять йому під час підготовки до уроку дидактично доцільно визначати навчальні завдання для кожної дитини та під час індивідуальних зустрічей з батьками, аргументовано обговорювати результати навчання учня та способи їх удосконалення, аргументовано робити записи у свідоцтві досягнень на початку та наприкінці навчального року. Зошит спостережень учителя ведеться у довільній формі, є його особистим документом та не підлягає перевірці з боку адміністрації.</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Іншим способом фіксації педагогічних спостережень може бути заповнення індивідуальної картки навчального поступу учня, приклад якої наведено нижче.</w:t>
      </w:r>
    </w:p>
    <w:tbl>
      <w:tblPr>
        <w:tblW w:w="9360" w:type="dxa"/>
        <w:shd w:val="clear" w:color="auto" w:fill="FFFFFF"/>
        <w:tblCellMar>
          <w:left w:w="0" w:type="dxa"/>
          <w:right w:w="0" w:type="dxa"/>
        </w:tblCellMar>
        <w:tblLook w:val="04A0" w:firstRow="1" w:lastRow="0" w:firstColumn="1" w:lastColumn="0" w:noHBand="0" w:noVBand="1"/>
      </w:tblPr>
      <w:tblGrid>
        <w:gridCol w:w="4252"/>
        <w:gridCol w:w="1277"/>
        <w:gridCol w:w="1277"/>
        <w:gridCol w:w="1277"/>
        <w:gridCol w:w="1277"/>
      </w:tblGrid>
      <w:tr w:rsidR="000A2B61" w:rsidRPr="000A2B61" w:rsidTr="000A2B61">
        <w:tc>
          <w:tcPr>
            <w:tcW w:w="9345" w:type="dxa"/>
            <w:gridSpan w:val="5"/>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Ім’я учня ____________________________________________________________________</w:t>
            </w:r>
          </w:p>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 </w:t>
            </w:r>
            <w:r w:rsidRPr="000A2B61">
              <w:rPr>
                <w:rFonts w:ascii="Arial" w:eastAsia="Times New Roman" w:hAnsi="Arial" w:cs="Arial"/>
                <w:color w:val="666666"/>
                <w:sz w:val="17"/>
                <w:szCs w:val="17"/>
                <w:lang w:eastAsia="uk-UA"/>
              </w:rPr>
              <w:t>має значні успіхи; </w:t>
            </w:r>
            <w:r w:rsidRPr="000A2B61">
              <w:rPr>
                <w:rFonts w:ascii="Arial" w:eastAsia="Times New Roman" w:hAnsi="Arial" w:cs="Arial"/>
                <w:b/>
                <w:bCs/>
                <w:color w:val="666666"/>
                <w:sz w:val="17"/>
                <w:szCs w:val="17"/>
                <w:bdr w:val="none" w:sz="0" w:space="0" w:color="auto" w:frame="1"/>
                <w:lang w:eastAsia="uk-UA"/>
              </w:rPr>
              <w:t>+</w:t>
            </w:r>
            <w:r w:rsidRPr="000A2B61">
              <w:rPr>
                <w:rFonts w:ascii="Arial" w:eastAsia="Times New Roman" w:hAnsi="Arial" w:cs="Arial"/>
                <w:color w:val="666666"/>
                <w:sz w:val="17"/>
                <w:szCs w:val="17"/>
                <w:lang w:eastAsia="uk-UA"/>
              </w:rPr>
              <w:t> демонструє помітний прогрес;</w:t>
            </w:r>
          </w:p>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V </w:t>
            </w:r>
            <w:r w:rsidRPr="000A2B61">
              <w:rPr>
                <w:rFonts w:ascii="Arial" w:eastAsia="Times New Roman" w:hAnsi="Arial" w:cs="Arial"/>
                <w:color w:val="666666"/>
                <w:sz w:val="17"/>
                <w:szCs w:val="17"/>
                <w:lang w:eastAsia="uk-UA"/>
              </w:rPr>
              <w:t>досягає результату з допомогою вчителя; </w:t>
            </w:r>
            <w:r w:rsidRPr="000A2B61">
              <w:rPr>
                <w:rFonts w:ascii="Arial" w:eastAsia="Times New Roman" w:hAnsi="Arial" w:cs="Arial"/>
                <w:b/>
                <w:bCs/>
                <w:color w:val="666666"/>
                <w:sz w:val="17"/>
                <w:szCs w:val="17"/>
                <w:bdr w:val="none" w:sz="0" w:space="0" w:color="auto" w:frame="1"/>
                <w:lang w:eastAsia="uk-UA"/>
              </w:rPr>
              <w:t>! </w:t>
            </w:r>
            <w:r w:rsidRPr="000A2B61">
              <w:rPr>
                <w:rFonts w:ascii="Arial" w:eastAsia="Times New Roman" w:hAnsi="Arial" w:cs="Arial"/>
                <w:color w:val="666666"/>
                <w:sz w:val="17"/>
                <w:szCs w:val="17"/>
                <w:lang w:eastAsia="uk-UA"/>
              </w:rPr>
              <w:t>потребує значної уваги і допомоги</w:t>
            </w:r>
          </w:p>
        </w:tc>
      </w:tr>
      <w:tr w:rsidR="000A2B61" w:rsidRPr="000A2B61" w:rsidTr="000A2B61">
        <w:tc>
          <w:tcPr>
            <w:tcW w:w="42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ціль/уміння</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дата</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дата</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дата</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дата</w:t>
            </w:r>
          </w:p>
        </w:tc>
      </w:tr>
      <w:tr w:rsidR="000A2B61" w:rsidRPr="000A2B61" w:rsidTr="000A2B61">
        <w:tc>
          <w:tcPr>
            <w:tcW w:w="42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Відповідає на питання «так/ні»</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w:t>
            </w:r>
          </w:p>
        </w:tc>
      </w:tr>
      <w:tr w:rsidR="000A2B61" w:rsidRPr="000A2B61" w:rsidTr="000A2B61">
        <w:tc>
          <w:tcPr>
            <w:tcW w:w="42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Відповідає на спеціальні питання</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V</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V</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center"/>
              <w:rPr>
                <w:rFonts w:ascii="Arial" w:eastAsia="Times New Roman" w:hAnsi="Arial" w:cs="Arial"/>
                <w:color w:val="666666"/>
                <w:sz w:val="17"/>
                <w:szCs w:val="17"/>
                <w:lang w:eastAsia="uk-UA"/>
              </w:rPr>
            </w:pPr>
            <w:r w:rsidRPr="000A2B61">
              <w:rPr>
                <w:rFonts w:ascii="Arial" w:eastAsia="Times New Roman" w:hAnsi="Arial" w:cs="Arial"/>
                <w:b/>
                <w:bCs/>
                <w:color w:val="666666"/>
                <w:sz w:val="17"/>
                <w:szCs w:val="17"/>
                <w:bdr w:val="none" w:sz="0" w:space="0" w:color="auto" w:frame="1"/>
                <w:lang w:eastAsia="uk-UA"/>
              </w:rPr>
              <w:t>+</w:t>
            </w:r>
          </w:p>
        </w:tc>
      </w:tr>
      <w:tr w:rsidR="000A2B61" w:rsidRPr="000A2B61" w:rsidTr="000A2B61">
        <w:tc>
          <w:tcPr>
            <w:tcW w:w="42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Взаємодіє з іншими</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r>
    </w:tbl>
    <w:p w:rsidR="000A2B61" w:rsidRPr="000A2B61" w:rsidRDefault="000A2B61" w:rsidP="000A2B61">
      <w:pPr>
        <w:shd w:val="clear" w:color="auto" w:fill="FFFFFF"/>
        <w:spacing w:after="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br/>
        <w:t>Учитель може самостійно розробити оцінювальний аркуш для групи учнів з метою визначення рівня засвоєння матеріалу кожного розділу відповідно до навчальної програми, визначивши при цьому цілі з кожного аспекту діяльності. Нижче наведено орієнтовну форму такого аркуша (на прикладі іноземної мови).</w:t>
      </w:r>
    </w:p>
    <w:tbl>
      <w:tblPr>
        <w:tblW w:w="9360" w:type="dxa"/>
        <w:shd w:val="clear" w:color="auto" w:fill="FFFFFF"/>
        <w:tblCellMar>
          <w:left w:w="0" w:type="dxa"/>
          <w:right w:w="0" w:type="dxa"/>
        </w:tblCellMar>
        <w:tblLook w:val="04A0" w:firstRow="1" w:lastRow="0" w:firstColumn="1" w:lastColumn="0" w:noHBand="0" w:noVBand="1"/>
      </w:tblPr>
      <w:tblGrid>
        <w:gridCol w:w="1101"/>
        <w:gridCol w:w="2075"/>
        <w:gridCol w:w="1535"/>
        <w:gridCol w:w="1533"/>
        <w:gridCol w:w="1588"/>
        <w:gridCol w:w="1528"/>
      </w:tblGrid>
      <w:tr w:rsidR="000A2B61" w:rsidRPr="000A2B61" w:rsidTr="000A2B61">
        <w:tc>
          <w:tcPr>
            <w:tcW w:w="9345" w:type="dxa"/>
            <w:gridSpan w:val="6"/>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РОЗДІЛ 7</w:t>
            </w:r>
          </w:p>
        </w:tc>
      </w:tr>
      <w:tr w:rsidR="000A2B61" w:rsidRPr="000A2B61" w:rsidTr="000A2B61">
        <w:tc>
          <w:tcPr>
            <w:tcW w:w="99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Прізвище, ім’я учня</w:t>
            </w:r>
          </w:p>
        </w:tc>
        <w:tc>
          <w:tcPr>
            <w:tcW w:w="21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Лексика: почувши слово, вказує на відповідний малюнок</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Лексика: називає зображене</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xml:space="preserve">Усна </w:t>
            </w:r>
            <w:proofErr w:type="spellStart"/>
            <w:r w:rsidRPr="000A2B61">
              <w:rPr>
                <w:rFonts w:ascii="Arial" w:eastAsia="Times New Roman" w:hAnsi="Arial" w:cs="Arial"/>
                <w:color w:val="666666"/>
                <w:sz w:val="17"/>
                <w:szCs w:val="17"/>
                <w:lang w:eastAsia="uk-UA"/>
              </w:rPr>
              <w:t>інтеракція</w:t>
            </w:r>
            <w:proofErr w:type="spellEnd"/>
            <w:r w:rsidRPr="000A2B61">
              <w:rPr>
                <w:rFonts w:ascii="Arial" w:eastAsia="Times New Roman" w:hAnsi="Arial" w:cs="Arial"/>
                <w:color w:val="666666"/>
                <w:sz w:val="17"/>
                <w:szCs w:val="17"/>
                <w:lang w:eastAsia="uk-UA"/>
              </w:rPr>
              <w:t xml:space="preserve"> Задає питання і відповідає</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Розігрує сценку, вірно використовуючи слова і фрази</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Читає слова з довгим голосним звуком</w:t>
            </w:r>
          </w:p>
        </w:tc>
      </w:tr>
      <w:tr w:rsidR="000A2B61" w:rsidRPr="000A2B61" w:rsidTr="000A2B61">
        <w:tc>
          <w:tcPr>
            <w:tcW w:w="99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21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A2B61" w:rsidRPr="000A2B61" w:rsidRDefault="000A2B61" w:rsidP="000A2B61">
            <w:pPr>
              <w:spacing w:after="0" w:line="240" w:lineRule="auto"/>
              <w:jc w:val="both"/>
              <w:rPr>
                <w:rFonts w:ascii="Arial" w:eastAsia="Times New Roman" w:hAnsi="Arial" w:cs="Arial"/>
                <w:color w:val="666666"/>
                <w:sz w:val="17"/>
                <w:szCs w:val="17"/>
                <w:lang w:eastAsia="uk-UA"/>
              </w:rPr>
            </w:pPr>
            <w:r w:rsidRPr="000A2B61">
              <w:rPr>
                <w:rFonts w:ascii="Arial" w:eastAsia="Times New Roman" w:hAnsi="Arial" w:cs="Arial"/>
                <w:color w:val="666666"/>
                <w:sz w:val="17"/>
                <w:szCs w:val="17"/>
                <w:lang w:eastAsia="uk-UA"/>
              </w:rPr>
              <w:t> </w:t>
            </w:r>
          </w:p>
        </w:tc>
      </w:tr>
    </w:tbl>
    <w:p w:rsidR="000A2B61" w:rsidRPr="000A2B61" w:rsidRDefault="000A2B61" w:rsidP="000A2B61">
      <w:pPr>
        <w:shd w:val="clear" w:color="auto" w:fill="FFFFFF"/>
        <w:spacing w:after="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br/>
        <w:t xml:space="preserve">Учнівські портфоліо передбачають систематизацію робіт учнів як свідчення їхніх успіхів і досягнень. У другому класі діти започатковують ведення портфоліо у вигляді папки з прикріпленими аркушами таблиці для переліку робіт та </w:t>
      </w:r>
      <w:proofErr w:type="spellStart"/>
      <w:r w:rsidRPr="000A2B61">
        <w:rPr>
          <w:rFonts w:ascii="Arial" w:eastAsia="Times New Roman" w:hAnsi="Arial" w:cs="Arial"/>
          <w:color w:val="000000"/>
          <w:sz w:val="21"/>
          <w:szCs w:val="21"/>
          <w:lang w:eastAsia="uk-UA"/>
        </w:rPr>
        <w:t>графою</w:t>
      </w:r>
      <w:proofErr w:type="spellEnd"/>
      <w:r w:rsidRPr="000A2B61">
        <w:rPr>
          <w:rFonts w:ascii="Arial" w:eastAsia="Times New Roman" w:hAnsi="Arial" w:cs="Arial"/>
          <w:color w:val="000000"/>
          <w:sz w:val="21"/>
          <w:szCs w:val="21"/>
          <w:lang w:eastAsia="uk-UA"/>
        </w:rPr>
        <w:t xml:space="preserve"> для дати або іншому форматі, за спільним рішенням учителя та учнів. До портфоліо долучають малюнки, діагностичні та інші письмові роботи, їх результати, а також результати творчої та проектної діяльності учнів.</w:t>
      </w:r>
    </w:p>
    <w:p w:rsidR="000A2B61" w:rsidRPr="000A2B61" w:rsidRDefault="000A2B61" w:rsidP="000A2B61">
      <w:pPr>
        <w:shd w:val="clear" w:color="auto" w:fill="FFFFFF"/>
        <w:spacing w:after="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Само- та </w:t>
      </w:r>
      <w:proofErr w:type="spellStart"/>
      <w:r w:rsidRPr="000A2B61">
        <w:rPr>
          <w:rFonts w:ascii="Arial" w:eastAsia="Times New Roman" w:hAnsi="Arial" w:cs="Arial"/>
          <w:color w:val="000000"/>
          <w:sz w:val="21"/>
          <w:szCs w:val="21"/>
          <w:lang w:eastAsia="uk-UA"/>
        </w:rPr>
        <w:t>взаємооцінювання</w:t>
      </w:r>
      <w:proofErr w:type="spellEnd"/>
      <w:r w:rsidRPr="000A2B61">
        <w:rPr>
          <w:rFonts w:ascii="Arial" w:eastAsia="Times New Roman" w:hAnsi="Arial" w:cs="Arial"/>
          <w:color w:val="000000"/>
          <w:sz w:val="21"/>
          <w:szCs w:val="21"/>
          <w:lang w:eastAsia="uk-UA"/>
        </w:rPr>
        <w:t xml:space="preserve"> учнів організовується вчителем на регулярній основі за визначеними критеріями до умінь, що є наскрізними, та складових </w:t>
      </w:r>
      <w:proofErr w:type="spellStart"/>
      <w:r w:rsidRPr="000A2B61">
        <w:rPr>
          <w:rFonts w:ascii="Arial" w:eastAsia="Times New Roman" w:hAnsi="Arial" w:cs="Arial"/>
          <w:color w:val="000000"/>
          <w:sz w:val="21"/>
          <w:szCs w:val="21"/>
          <w:lang w:eastAsia="uk-UA"/>
        </w:rPr>
        <w:t>компетентностей</w:t>
      </w:r>
      <w:proofErr w:type="spellEnd"/>
      <w:r w:rsidRPr="000A2B61">
        <w:rPr>
          <w:rFonts w:ascii="Arial" w:eastAsia="Times New Roman" w:hAnsi="Arial" w:cs="Arial"/>
          <w:color w:val="000000"/>
          <w:sz w:val="21"/>
          <w:szCs w:val="21"/>
          <w:lang w:eastAsia="uk-UA"/>
        </w:rPr>
        <w:t xml:space="preserve">, залежно від навчального поступу учнів. Шкали для само- та </w:t>
      </w:r>
      <w:proofErr w:type="spellStart"/>
      <w:r w:rsidRPr="000A2B61">
        <w:rPr>
          <w:rFonts w:ascii="Arial" w:eastAsia="Times New Roman" w:hAnsi="Arial" w:cs="Arial"/>
          <w:color w:val="000000"/>
          <w:sz w:val="21"/>
          <w:szCs w:val="21"/>
          <w:lang w:eastAsia="uk-UA"/>
        </w:rPr>
        <w:t>взаємооцінювання</w:t>
      </w:r>
      <w:proofErr w:type="spellEnd"/>
      <w:r w:rsidRPr="000A2B61">
        <w:rPr>
          <w:rFonts w:ascii="Arial" w:eastAsia="Times New Roman" w:hAnsi="Arial" w:cs="Arial"/>
          <w:color w:val="000000"/>
          <w:sz w:val="21"/>
          <w:szCs w:val="21"/>
          <w:lang w:eastAsia="uk-UA"/>
        </w:rPr>
        <w:t xml:space="preserve"> рекомендовано застосовувати на вибір учителя: </w:t>
      </w:r>
      <w:proofErr w:type="spellStart"/>
      <w:r w:rsidRPr="000A2B61">
        <w:rPr>
          <w:rFonts w:ascii="Arial" w:eastAsia="Times New Roman" w:hAnsi="Arial" w:cs="Arial"/>
          <w:color w:val="000000"/>
          <w:sz w:val="21"/>
          <w:szCs w:val="21"/>
          <w:lang w:eastAsia="uk-UA"/>
        </w:rPr>
        <w:t>трирівневу</w:t>
      </w:r>
      <w:proofErr w:type="spellEnd"/>
      <w:r w:rsidRPr="000A2B61">
        <w:rPr>
          <w:rFonts w:ascii="Arial" w:eastAsia="Times New Roman" w:hAnsi="Arial" w:cs="Arial"/>
          <w:color w:val="000000"/>
          <w:sz w:val="21"/>
          <w:szCs w:val="21"/>
          <w:lang w:eastAsia="uk-UA"/>
        </w:rPr>
        <w:t xml:space="preserve"> шкалу оцінювання «мені ще варто попрацювати - я тренуюся - мені вдається»; шкалу, ідентичну до тієї, що застосовується у </w:t>
      </w:r>
      <w:hyperlink r:id="rId7" w:history="1">
        <w:r w:rsidRPr="000A2B61">
          <w:rPr>
            <w:rFonts w:ascii="Arial" w:eastAsia="Times New Roman" w:hAnsi="Arial" w:cs="Arial"/>
            <w:color w:val="8C8282"/>
            <w:sz w:val="21"/>
            <w:szCs w:val="21"/>
            <w:bdr w:val="none" w:sz="0" w:space="0" w:color="auto" w:frame="1"/>
            <w:lang w:eastAsia="uk-UA"/>
          </w:rPr>
          <w:t>свідоцтві досягнень</w:t>
        </w:r>
      </w:hyperlink>
      <w:r w:rsidRPr="000A2B61">
        <w:rPr>
          <w:rFonts w:ascii="Arial" w:eastAsia="Times New Roman" w:hAnsi="Arial" w:cs="Arial"/>
          <w:color w:val="000000"/>
          <w:sz w:val="21"/>
          <w:szCs w:val="21"/>
          <w:lang w:eastAsia="uk-UA"/>
        </w:rPr>
        <w:t>, затвердженому цим наказом; шкалу, розроблену вчителем самостійно.</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lastRenderedPageBreak/>
        <w:t xml:space="preserve">Під час </w:t>
      </w:r>
      <w:proofErr w:type="spellStart"/>
      <w:r w:rsidRPr="000A2B61">
        <w:rPr>
          <w:rFonts w:ascii="Arial" w:eastAsia="Times New Roman" w:hAnsi="Arial" w:cs="Arial"/>
          <w:color w:val="000000"/>
          <w:sz w:val="21"/>
          <w:szCs w:val="21"/>
          <w:lang w:eastAsia="uk-UA"/>
        </w:rPr>
        <w:t>взаємооцінювання</w:t>
      </w:r>
      <w:proofErr w:type="spellEnd"/>
      <w:r w:rsidRPr="000A2B61">
        <w:rPr>
          <w:rFonts w:ascii="Arial" w:eastAsia="Times New Roman" w:hAnsi="Arial" w:cs="Arial"/>
          <w:color w:val="000000"/>
          <w:sz w:val="21"/>
          <w:szCs w:val="21"/>
          <w:lang w:eastAsia="uk-UA"/>
        </w:rPr>
        <w:t xml:space="preserve"> необхідно приділяти особливу увагу формуванню уміння в учнів </w:t>
      </w:r>
      <w:proofErr w:type="spellStart"/>
      <w:r w:rsidRPr="000A2B61">
        <w:rPr>
          <w:rFonts w:ascii="Arial" w:eastAsia="Times New Roman" w:hAnsi="Arial" w:cs="Arial"/>
          <w:color w:val="000000"/>
          <w:sz w:val="21"/>
          <w:szCs w:val="21"/>
          <w:lang w:eastAsia="uk-UA"/>
        </w:rPr>
        <w:t>коректно</w:t>
      </w:r>
      <w:proofErr w:type="spellEnd"/>
      <w:r w:rsidRPr="000A2B61">
        <w:rPr>
          <w:rFonts w:ascii="Arial" w:eastAsia="Times New Roman" w:hAnsi="Arial" w:cs="Arial"/>
          <w:color w:val="000000"/>
          <w:sz w:val="21"/>
          <w:szCs w:val="21"/>
          <w:lang w:eastAsia="uk-UA"/>
        </w:rPr>
        <w:t xml:space="preserve"> висловлювати думку про результати роботи однокласників, давати поради щодо їх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цінності кожного учня в колективі.</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зазначають прогрес учнів та поради щодо подолання утруднень, за їх наявності, у досягненні очікуваних результатів навчання відповідно до програмових вимог.</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Неприпустимим є формулювання оцінних суджень, що принижують гідність дитини, прирівнювання оцінних суджень до певних рівнів навчальних досягнень, а також використання зовнішніх атрибутів (зірочки, квіточки, прапорці тощо) у разі їх співвіднесення з певними балами чи рівнями навчальних досягнень здобувачів освіти.</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Формувальне оцінювання має мотивувати, підтримувати й надихати учнів на успіх, саморозвиток і вдосконалення, вияв власних здобутків у навчальній діяльності та сприяти формуванню навичок застосування знань і умінь під час виконання практико орієнтованих завдань. Воно має бути спрямованим на виявлення проблем і вчасне запобігання їх нашаруванню; стимулювання бажання вчитися та прагнути досягати максимально можливих результатів; запобігання побоюванням помилитися.</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Підсумкове тематичне оцінювання навчальних досягнень учнів у другому класі здійснюється протягом навчального року за результатами опанування ними теми, кількох тем, розділу програми тощо. Підсумкове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Підсумкове тематичне оцінювання здійснюється вербально за результатами виконання діагностичних робіт, розроблених на основі </w:t>
      </w:r>
      <w:proofErr w:type="spellStart"/>
      <w:r w:rsidRPr="000A2B61">
        <w:rPr>
          <w:rFonts w:ascii="Arial" w:eastAsia="Times New Roman" w:hAnsi="Arial" w:cs="Arial"/>
          <w:color w:val="000000"/>
          <w:sz w:val="21"/>
          <w:szCs w:val="21"/>
          <w:lang w:eastAsia="uk-UA"/>
        </w:rPr>
        <w:t>компетентнісного</w:t>
      </w:r>
      <w:proofErr w:type="spellEnd"/>
      <w:r w:rsidRPr="000A2B61">
        <w:rPr>
          <w:rFonts w:ascii="Arial" w:eastAsia="Times New Roman" w:hAnsi="Arial" w:cs="Arial"/>
          <w:color w:val="000000"/>
          <w:sz w:val="21"/>
          <w:szCs w:val="21"/>
          <w:lang w:eastAsia="uk-UA"/>
        </w:rPr>
        <w:t xml:space="preserve"> підходу, які можуть бути усними чи письмовими у формі тестових завдань, комбінованої роботи, практичної роботи, усного опитування тощо. Форми та засоби оцінювання, зміст завдань учитель обирає самостійно з урахуванням особливостей учнів класу. Обсяг діагностичних робіт визначають з розрахунку прогнозованого часу на виконання окремих завдань учнями, з урахуванням вікових та індивідуальних особливостей учнів, їх готовності до виконання того чи іншого завдання. У другому класі тривалість виконання діагностичної роботи не повинна перевищувати 35 хвилин (із 40 хвилин уроку 5 хвилин - інструктаж, 35 хвилин - виконання роботи).</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Усі діагностичні роботи проводяться протягом навчального року, дотримуючись структурування програмового матеріалу </w:t>
      </w:r>
      <w:proofErr w:type="spellStart"/>
      <w:r w:rsidRPr="000A2B61">
        <w:rPr>
          <w:rFonts w:ascii="Arial" w:eastAsia="Times New Roman" w:hAnsi="Arial" w:cs="Arial"/>
          <w:color w:val="000000"/>
          <w:sz w:val="21"/>
          <w:szCs w:val="21"/>
          <w:lang w:eastAsia="uk-UA"/>
        </w:rPr>
        <w:t>логічно</w:t>
      </w:r>
      <w:proofErr w:type="spellEnd"/>
      <w:r w:rsidRPr="000A2B61">
        <w:rPr>
          <w:rFonts w:ascii="Arial" w:eastAsia="Times New Roman" w:hAnsi="Arial" w:cs="Arial"/>
          <w:color w:val="000000"/>
          <w:sz w:val="21"/>
          <w:szCs w:val="21"/>
          <w:lang w:eastAsia="uk-UA"/>
        </w:rPr>
        <w:t xml:space="preserve"> завершеними частинами. Проведення діагностичних робіт учитель передбачає у календарно-тематичному плані, орієнтуючись на кількість тем у межах кожного предмета або результати формувального оцінювання учнів.</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Рекомендовано проводити діагностичні роботи з мовно-літературної, математичної та природничої освітніх галузей.</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Під час планування діагностичних робіт з української мови рекомендовано враховувати усі види мовленнєвої діяльності (аудіювання, читання, говоріння, письмо) та передбачати їх комбінацію (аудіювання, читання вголос, читання напам'ять, переказ, робота з літературним твором/</w:t>
      </w:r>
      <w:proofErr w:type="spellStart"/>
      <w:r w:rsidRPr="000A2B61">
        <w:rPr>
          <w:rFonts w:ascii="Arial" w:eastAsia="Times New Roman" w:hAnsi="Arial" w:cs="Arial"/>
          <w:color w:val="000000"/>
          <w:sz w:val="21"/>
          <w:szCs w:val="21"/>
          <w:lang w:eastAsia="uk-UA"/>
        </w:rPr>
        <w:t>медіатекстом</w:t>
      </w:r>
      <w:proofErr w:type="spellEnd"/>
      <w:r w:rsidRPr="000A2B61">
        <w:rPr>
          <w:rFonts w:ascii="Arial" w:eastAsia="Times New Roman" w:hAnsi="Arial" w:cs="Arial"/>
          <w:color w:val="000000"/>
          <w:sz w:val="21"/>
          <w:szCs w:val="21"/>
          <w:lang w:eastAsia="uk-UA"/>
        </w:rPr>
        <w:t xml:space="preserve">, списування, диктант, робота з </w:t>
      </w:r>
      <w:proofErr w:type="spellStart"/>
      <w:r w:rsidRPr="000A2B61">
        <w:rPr>
          <w:rFonts w:ascii="Arial" w:eastAsia="Times New Roman" w:hAnsi="Arial" w:cs="Arial"/>
          <w:color w:val="000000"/>
          <w:sz w:val="21"/>
          <w:szCs w:val="21"/>
          <w:lang w:eastAsia="uk-UA"/>
        </w:rPr>
        <w:t>мовними</w:t>
      </w:r>
      <w:proofErr w:type="spellEnd"/>
      <w:r w:rsidRPr="000A2B61">
        <w:rPr>
          <w:rFonts w:ascii="Arial" w:eastAsia="Times New Roman" w:hAnsi="Arial" w:cs="Arial"/>
          <w:color w:val="000000"/>
          <w:sz w:val="21"/>
          <w:szCs w:val="21"/>
          <w:lang w:eastAsia="uk-UA"/>
        </w:rPr>
        <w:t xml:space="preserve"> одиницями).</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Діагностика навчальних досягнень з таких освітніх галузей як технологічна, </w:t>
      </w:r>
      <w:proofErr w:type="spellStart"/>
      <w:r w:rsidRPr="000A2B61">
        <w:rPr>
          <w:rFonts w:ascii="Arial" w:eastAsia="Times New Roman" w:hAnsi="Arial" w:cs="Arial"/>
          <w:color w:val="000000"/>
          <w:sz w:val="21"/>
          <w:szCs w:val="21"/>
          <w:lang w:eastAsia="uk-UA"/>
        </w:rPr>
        <w:t>інформатична</w:t>
      </w:r>
      <w:proofErr w:type="spellEnd"/>
      <w:r w:rsidRPr="000A2B61">
        <w:rPr>
          <w:rFonts w:ascii="Arial" w:eastAsia="Times New Roman" w:hAnsi="Arial" w:cs="Arial"/>
          <w:color w:val="000000"/>
          <w:sz w:val="21"/>
          <w:szCs w:val="21"/>
          <w:lang w:eastAsia="uk-UA"/>
        </w:rPr>
        <w:t xml:space="preserve">, соціальна і </w:t>
      </w:r>
      <w:proofErr w:type="spellStart"/>
      <w:r w:rsidRPr="000A2B61">
        <w:rPr>
          <w:rFonts w:ascii="Arial" w:eastAsia="Times New Roman" w:hAnsi="Arial" w:cs="Arial"/>
          <w:color w:val="000000"/>
          <w:sz w:val="21"/>
          <w:szCs w:val="21"/>
          <w:lang w:eastAsia="uk-UA"/>
        </w:rPr>
        <w:t>здоров'язбережувальна</w:t>
      </w:r>
      <w:proofErr w:type="spellEnd"/>
      <w:r w:rsidRPr="000A2B61">
        <w:rPr>
          <w:rFonts w:ascii="Arial" w:eastAsia="Times New Roman" w:hAnsi="Arial" w:cs="Arial"/>
          <w:color w:val="000000"/>
          <w:sz w:val="21"/>
          <w:szCs w:val="21"/>
          <w:lang w:eastAsia="uk-UA"/>
        </w:rPr>
        <w:t xml:space="preserve">, громадянська та історична може відбуватися у складі комплексних робіт із використанням </w:t>
      </w:r>
      <w:proofErr w:type="spellStart"/>
      <w:r w:rsidRPr="000A2B61">
        <w:rPr>
          <w:rFonts w:ascii="Arial" w:eastAsia="Times New Roman" w:hAnsi="Arial" w:cs="Arial"/>
          <w:color w:val="000000"/>
          <w:sz w:val="21"/>
          <w:szCs w:val="21"/>
          <w:lang w:eastAsia="uk-UA"/>
        </w:rPr>
        <w:t>компетентнісних</w:t>
      </w:r>
      <w:proofErr w:type="spellEnd"/>
      <w:r w:rsidRPr="000A2B61">
        <w:rPr>
          <w:rFonts w:ascii="Arial" w:eastAsia="Times New Roman" w:hAnsi="Arial" w:cs="Arial"/>
          <w:color w:val="000000"/>
          <w:sz w:val="21"/>
          <w:szCs w:val="21"/>
          <w:lang w:eastAsia="uk-UA"/>
        </w:rPr>
        <w:t xml:space="preserve"> завдань у межах інтегрованого курсу «Я досліджую світ».</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Проведення окремих діагностичних робіт з цих освітніх галузей не передбачено.</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Діагностичні роботи з мистецької та фізкультурної освітніх галузей, а також курсів за вибором не є обов'язковими у другому класі.</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lastRenderedPageBreak/>
        <w:t>Письмові діагностичні роботи учні виконують у зошитах для діагностичних робіт або на окремих аркушах, бланках тощо. Результатом оцінювання діагностичної роботи є оцінне судження відповідно до шкали оцінювання у свідоцтві досягнень учнів (згідно з додатком) або інша вербальна оцінка, за вибором учителя. У Класному журналі на сторінках «Облік навчальних досягнень учнів» у графі «Зміст уроку» (права сторінка розвороту журналу) фіксують факт проведення діагностичної роботи, у колонці під датою проведення уроку (ліва сторінка розвороту журналу). У Класному журналі не фіксуються оцінні судження (або інші позначки), що характеризують досягнення учня за результатами діагностичної роботи. Діагностичні роботи та їх результати є відображенням навчального поступу учнів та можуть зберігатися в учнівському портфоліо.</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Документами, які свідчать про результати навчання учнів і підтверджують факт досягнення ними очікуваних результатів, є робочі зошити учнів, робочі аркуші з виконаними роботами, зошити для діагностичних робіт, учнівські портфоліо. Зошити для діагностичних робіт, учнівські портфоліо рекомендовано зберігати у школі.</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 xml:space="preserve">Підсумкове  завершальне оцінювання навчальних досягнень учнів передбачає узагальнення інформації про їхній навчальний поступ протягом навчального року, при цьому не передбачає проведення окремих діагностичних робіт. Результати підсумкового завершального оцінювання учитель визначає на основі власних педагогічних спостережень, результатів тематичного оцінювання, аналізу учнівських портфоліо та фіксує у Класному журналі і </w:t>
      </w:r>
      <w:proofErr w:type="spellStart"/>
      <w:r w:rsidRPr="000A2B61">
        <w:rPr>
          <w:rFonts w:ascii="Arial" w:eastAsia="Times New Roman" w:hAnsi="Arial" w:cs="Arial"/>
          <w:color w:val="000000"/>
          <w:sz w:val="21"/>
          <w:szCs w:val="21"/>
          <w:lang w:eastAsia="uk-UA"/>
        </w:rPr>
        <w:t>свідоцтвах</w:t>
      </w:r>
      <w:proofErr w:type="spellEnd"/>
      <w:r w:rsidRPr="000A2B61">
        <w:rPr>
          <w:rFonts w:ascii="Arial" w:eastAsia="Times New Roman" w:hAnsi="Arial" w:cs="Arial"/>
          <w:color w:val="000000"/>
          <w:sz w:val="21"/>
          <w:szCs w:val="21"/>
          <w:lang w:eastAsia="uk-UA"/>
        </w:rPr>
        <w:t xml:space="preserve"> досягнень.</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У Класному журналі на сторінці «Зведений облік навчальних досягнень учнів» учитель записує рішення педагогічної ради про переведення учнів до наступного класу. У випадку, коли учні не досягли очікуваних результатів навчання, вони можуть продовжувати навчання за індивідуальним навчальним планом або бути залишеними на повторний курс навчання за письмовим зверненням батьків. При цьому у Класному журналі на сторінці «Зведений облік навчальних досягнень учнів» робиться запис з відповідним рішенням педагогічної ради.</w:t>
      </w:r>
    </w:p>
    <w:p w:rsidR="000A2B61" w:rsidRPr="000A2B61" w:rsidRDefault="000A2B61" w:rsidP="000A2B61">
      <w:pPr>
        <w:shd w:val="clear" w:color="auto" w:fill="FFFFFF"/>
        <w:spacing w:after="0" w:line="240" w:lineRule="auto"/>
        <w:jc w:val="both"/>
        <w:rPr>
          <w:rFonts w:ascii="Arial" w:eastAsia="Times New Roman" w:hAnsi="Arial" w:cs="Arial"/>
          <w:color w:val="000000"/>
          <w:sz w:val="21"/>
          <w:szCs w:val="21"/>
          <w:lang w:eastAsia="uk-UA"/>
        </w:rPr>
      </w:pPr>
      <w:hyperlink r:id="rId8" w:history="1">
        <w:r w:rsidRPr="000A2B61">
          <w:rPr>
            <w:rFonts w:ascii="Arial" w:eastAsia="Times New Roman" w:hAnsi="Arial" w:cs="Arial"/>
            <w:color w:val="8C8282"/>
            <w:sz w:val="21"/>
            <w:szCs w:val="21"/>
            <w:bdr w:val="none" w:sz="0" w:space="0" w:color="auto" w:frame="1"/>
            <w:lang w:eastAsia="uk-UA"/>
          </w:rPr>
          <w:t>Свідоцтво досягнень</w:t>
        </w:r>
      </w:hyperlink>
      <w:r w:rsidRPr="000A2B61">
        <w:rPr>
          <w:rFonts w:ascii="Arial" w:eastAsia="Times New Roman" w:hAnsi="Arial" w:cs="Arial"/>
          <w:color w:val="000000"/>
          <w:sz w:val="21"/>
          <w:szCs w:val="21"/>
          <w:lang w:eastAsia="uk-UA"/>
        </w:rPr>
        <w:t> заповнюється вчителем двічі на рік. У жовтні заповнюється лише його перша частина, у травні - перша і друга частини.</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У свідоцтві досягнень учитель фіксує розгорнуту інформацію про навчальний поступ учня/учениці у школі протягом навчального року з усіх предметів вивчення за показниками, які відповідають визначеним типовою освітньою програмою очікуваним результатам навчання, та надає рекомендації щодо подальшого навчання. Документ підписують учитель і батьки. Оригінал свідоцтва досягнень надається батькам, а його завірена копія зберігається в особовій справі учня в школі.</w:t>
      </w:r>
    </w:p>
    <w:p w:rsidR="000A2B61" w:rsidRPr="000A2B61" w:rsidRDefault="000A2B61" w:rsidP="000A2B61">
      <w:pPr>
        <w:shd w:val="clear" w:color="auto" w:fill="FFFFFF"/>
        <w:spacing w:after="210" w:line="240" w:lineRule="auto"/>
        <w:jc w:val="both"/>
        <w:rPr>
          <w:rFonts w:ascii="Arial" w:eastAsia="Times New Roman" w:hAnsi="Arial" w:cs="Arial"/>
          <w:color w:val="000000"/>
          <w:sz w:val="21"/>
          <w:szCs w:val="21"/>
          <w:lang w:eastAsia="uk-UA"/>
        </w:rPr>
      </w:pPr>
      <w:r w:rsidRPr="000A2B61">
        <w:rPr>
          <w:rFonts w:ascii="Arial" w:eastAsia="Times New Roman" w:hAnsi="Arial" w:cs="Arial"/>
          <w:color w:val="000000"/>
          <w:sz w:val="21"/>
          <w:szCs w:val="21"/>
          <w:lang w:eastAsia="uk-UA"/>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його/її батьками або консультацій з фахівцями, які беруть участь у розробленні індивідуальної траєкторії розвитку учня.</w:t>
      </w:r>
    </w:p>
    <w:p w:rsidR="00115C02" w:rsidRDefault="00115C02">
      <w:bookmarkStart w:id="0" w:name="_GoBack"/>
      <w:bookmarkEnd w:id="0"/>
    </w:p>
    <w:sectPr w:rsidR="00115C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7117"/>
    <w:multiLevelType w:val="multilevel"/>
    <w:tmpl w:val="C14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B0BA9"/>
    <w:multiLevelType w:val="multilevel"/>
    <w:tmpl w:val="0F9A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76"/>
    <w:rsid w:val="000A2B61"/>
    <w:rsid w:val="00115C02"/>
    <w:rsid w:val="00960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B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A2B61"/>
    <w:rPr>
      <w:b/>
      <w:bCs/>
    </w:rPr>
  </w:style>
  <w:style w:type="character" w:styleId="a5">
    <w:name w:val="Hyperlink"/>
    <w:basedOn w:val="a0"/>
    <w:uiPriority w:val="99"/>
    <w:semiHidden/>
    <w:unhideWhenUsed/>
    <w:rsid w:val="000A2B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B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A2B61"/>
    <w:rPr>
      <w:b/>
      <w:bCs/>
    </w:rPr>
  </w:style>
  <w:style w:type="character" w:styleId="a5">
    <w:name w:val="Hyperlink"/>
    <w:basedOn w:val="a0"/>
    <w:uiPriority w:val="99"/>
    <w:semiHidden/>
    <w:unhideWhenUsed/>
    <w:rsid w:val="000A2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doc/files/news/654/65481/2-klass.zip" TargetMode="External"/><Relationship Id="rId3" Type="http://schemas.microsoft.com/office/2007/relationships/stylesWithEffects" Target="stylesWithEffects.xml"/><Relationship Id="rId7" Type="http://schemas.openxmlformats.org/officeDocument/2006/relationships/hyperlink" Target="http://ru.osvita.ua/doc/files/news/654/65481/2-klass_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617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9424</Words>
  <Characters>5372</Characters>
  <Application>Microsoft Office Word</Application>
  <DocSecurity>0</DocSecurity>
  <Lines>44</Lines>
  <Paragraphs>29</Paragraphs>
  <ScaleCrop>false</ScaleCrop>
  <Company>Microsoft</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2021-03-10T07:55:00Z</dcterms:created>
  <dcterms:modified xsi:type="dcterms:W3CDTF">2021-03-10T07:55:00Z</dcterms:modified>
</cp:coreProperties>
</file>