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B2" w:rsidRPr="00AD6AB2" w:rsidRDefault="00AD6AB2" w:rsidP="00AD6AB2">
      <w:r>
        <w:rPr>
          <w:lang w:val="uk-UA"/>
        </w:rPr>
        <w:t xml:space="preserve">Практична робота </w:t>
      </w:r>
      <w:bookmarkStart w:id="0" w:name="_GoBack"/>
      <w:bookmarkEnd w:id="0"/>
      <w:r w:rsidRPr="00AD6AB2">
        <w:br/>
      </w:r>
      <w:r w:rsidRPr="00AD6AB2">
        <w:drawing>
          <wp:inline distT="0" distB="0" distL="0" distR="0">
            <wp:extent cx="6696075" cy="2695575"/>
            <wp:effectExtent l="0" t="0" r="9525" b="9525"/>
            <wp:docPr id="4" name="Рисунок 4" descr="https://ukrlitera.ru/images/2013-10-11/praktichna-robota-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krlitera.ru/images/2013-10-11/praktichna-robota-9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B2" w:rsidRPr="00AD6AB2" w:rsidRDefault="00AD6AB2" w:rsidP="00AD6AB2">
      <w:r w:rsidRPr="00AD6AB2">
        <w:rPr>
          <w:b/>
          <w:bCs/>
        </w:rPr>
        <w:t>2.</w:t>
      </w:r>
      <w:r w:rsidRPr="00AD6AB2">
        <w:t> Робота з картою.</w:t>
      </w:r>
    </w:p>
    <w:p w:rsidR="00AD6AB2" w:rsidRPr="00AD6AB2" w:rsidRDefault="00AD6AB2" w:rsidP="00AD6AB2">
      <w:r w:rsidRPr="00AD6AB2">
        <w:rPr>
          <w:b/>
          <w:bCs/>
        </w:rPr>
        <w:t>3. </w:t>
      </w:r>
      <w:r w:rsidRPr="00AD6AB2">
        <w:t>Північні та Західні країни (льон) — Полісся, Лісостеп. Карпати (жито) — Крим, Закарпаття (виноград) — Степові райони (со</w:t>
      </w:r>
      <w:r w:rsidRPr="00AD6AB2">
        <w:softHyphen/>
        <w:t>няшник) — Лісостепові райони (цукровий буряк)</w:t>
      </w:r>
    </w:p>
    <w:p w:rsidR="00AD6AB2" w:rsidRPr="00AD6AB2" w:rsidRDefault="00AD6AB2" w:rsidP="00AD6AB2">
      <w:r w:rsidRPr="00AD6AB2">
        <w:rPr>
          <w:b/>
          <w:bCs/>
        </w:rPr>
        <w:t>4.</w:t>
      </w:r>
      <w:r w:rsidRPr="00AD6AB2">
        <w:t> Зміни у валовому зборі зернових культур залежить від врожайності зазначених культур, яка в свою чергу залежить від осо</w:t>
      </w:r>
      <w:r w:rsidRPr="00AD6AB2">
        <w:softHyphen/>
        <w:t>бливості агрокліматичних умов і природних явищ. Так пік по валовому збору зернових припадає на 1990 і 2008 р., а мінімаль</w:t>
      </w:r>
      <w:r w:rsidRPr="00AD6AB2">
        <w:softHyphen/>
        <w:t>ні показники 1980 і 2000 р. На 2011 спостерігалася позитивна тенденція росту збору зернових (667 млн. т) якій сприяють добрі агрокліматнчні умови і заходи модернізації галузі (новітнє об</w:t>
      </w:r>
      <w:r w:rsidRPr="00AD6AB2">
        <w:softHyphen/>
        <w:t>ладнання ефективні агрохімічні засоби).</w:t>
      </w:r>
    </w:p>
    <w:p w:rsidR="00AD6AB2" w:rsidRPr="00AD6AB2" w:rsidRDefault="00AD6AB2" w:rsidP="00AD6AB2">
      <w:r w:rsidRPr="00AD6AB2">
        <w:drawing>
          <wp:inline distT="0" distB="0" distL="0" distR="0">
            <wp:extent cx="4143375" cy="3390900"/>
            <wp:effectExtent l="0" t="0" r="9525" b="0"/>
            <wp:docPr id="3" name="Рисунок 3" descr="https://ukrlitera.ru/images/2013-10-11/praktichna-robota-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krlitera.ru/images/2013-10-11/praktichna-robota-9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AB2">
        <w:t> </w:t>
      </w:r>
    </w:p>
    <w:p w:rsidR="00AD6AB2" w:rsidRPr="00AD6AB2" w:rsidRDefault="00AD6AB2" w:rsidP="00AD6AB2">
      <w:r w:rsidRPr="00AD6AB2">
        <w:rPr>
          <w:b/>
          <w:bCs/>
        </w:rPr>
        <w:lastRenderedPageBreak/>
        <w:t>5.</w:t>
      </w:r>
      <w:r w:rsidRPr="00AD6AB2">
        <w:t> Економічна криза і недостатнє фінансування сільськогосподарської галузі при</w:t>
      </w:r>
      <w:r w:rsidRPr="00AD6AB2">
        <w:softHyphen/>
        <w:t>звело до стрімкого скоро</w:t>
      </w:r>
      <w:r w:rsidRPr="00AD6AB2">
        <w:softHyphen/>
        <w:t>чення поголів'я тварин і  занепаду тваринницької галузі, що безпосередньо привело до скорочення виробництва м'яса. Лише з 2008 року спостері</w:t>
      </w:r>
      <w:r w:rsidRPr="00AD6AB2">
        <w:softHyphen/>
        <w:t>гається позитивна тенден</w:t>
      </w:r>
      <w:r w:rsidRPr="00AD6AB2">
        <w:softHyphen/>
        <w:t>ція повільного зростання обсягів виробництва м’яса завдяки реформам і державної підтримки галузі.</w:t>
      </w:r>
    </w:p>
    <w:p w:rsidR="00AD6AB2" w:rsidRPr="00AD6AB2" w:rsidRDefault="00AD6AB2" w:rsidP="00AD6AB2">
      <w:r w:rsidRPr="00AD6AB2">
        <w:rPr>
          <w:b/>
          <w:bCs/>
        </w:rPr>
        <w:t>Висновок</w:t>
      </w:r>
      <w:r w:rsidRPr="00AD6AB2">
        <w:t>. Розміщення сільськогосподарських культур на території України залежить від особливості агрокліматичннх умов її території. Оскільки Україна лежить в 3-х природних зонах, кожна з них буде спеціалізуватися на вирощуванні певних сільськогосподарських культур (степ — зернові, лісостеп — тех</w:t>
      </w:r>
      <w:r w:rsidRPr="00AD6AB2">
        <w:softHyphen/>
        <w:t>нічні, мішані ліси — кормові сільськогосподарські культури і різнотрав'я).</w:t>
      </w:r>
    </w:p>
    <w:p w:rsidR="00AD6AB2" w:rsidRPr="00AD6AB2" w:rsidRDefault="00AD6AB2" w:rsidP="00AD6AB2">
      <w:r w:rsidRPr="00AD6AB2">
        <w:t>На обсяги вирощування сільськогосподарської продукції вплив рівні врожайності сільськогосподарських куль</w:t>
      </w:r>
      <w:r w:rsidRPr="00AD6AB2">
        <w:softHyphen/>
        <w:t>тур.</w:t>
      </w:r>
    </w:p>
    <w:p w:rsidR="00AD6AB2" w:rsidRPr="00AD6AB2" w:rsidRDefault="00AD6AB2" w:rsidP="00AD6AB2">
      <w:r w:rsidRPr="00AD6AB2">
        <w:drawing>
          <wp:inline distT="0" distB="0" distL="0" distR="0">
            <wp:extent cx="3552825" cy="2952750"/>
            <wp:effectExtent l="0" t="0" r="9525" b="0"/>
            <wp:docPr id="2" name="Рисунок 2" descr="https://ukrlitera.ru/images/2013-10-11/praktichna-robota-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krlitera.ru/images/2013-10-11/praktichna-robota-9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B2" w:rsidRPr="00AD6AB2" w:rsidRDefault="00AD6AB2" w:rsidP="00AD6AB2">
      <w:r w:rsidRPr="00AD6AB2">
        <w:t> </w:t>
      </w:r>
    </w:p>
    <w:p w:rsidR="00AD6AB2" w:rsidRPr="00AD6AB2" w:rsidRDefault="00AD6AB2" w:rsidP="00AD6AB2">
      <w:r w:rsidRPr="00AD6AB2">
        <w:lastRenderedPageBreak/>
        <w:drawing>
          <wp:inline distT="0" distB="0" distL="0" distR="0">
            <wp:extent cx="5667375" cy="4086225"/>
            <wp:effectExtent l="0" t="0" r="9525" b="9525"/>
            <wp:docPr id="1" name="Рисунок 1" descr="https://ukrlitera.ru/images/2013-10-11/praktichna-robota-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krlitera.ru/images/2013-10-11/praktichna-robota-9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B2" w:rsidRPr="00AD6AB2" w:rsidRDefault="00AD6AB2" w:rsidP="00AD6AB2">
      <w:r w:rsidRPr="00AD6AB2">
        <w:t>Харківська область розташована в межах лісостепової зони. Сільське господарство спеціалізується на вирощуванні зернових культур, цукрового буряку, соняшнику, у тваринництві переважають скотарство, свинарство, птахівництво. Продуктивність сільського господарства має показник вищий за середній по Україні.</w:t>
      </w:r>
    </w:p>
    <w:p w:rsidR="00B85E89" w:rsidRDefault="00B85E89"/>
    <w:sectPr w:rsidR="00B8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69"/>
    <w:rsid w:val="00377469"/>
    <w:rsid w:val="00407191"/>
    <w:rsid w:val="00AD6AB2"/>
    <w:rsid w:val="00B8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71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71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Куковские</dc:creator>
  <cp:keywords/>
  <dc:description/>
  <cp:lastModifiedBy>Куковские</cp:lastModifiedBy>
  <cp:revision>3</cp:revision>
  <dcterms:created xsi:type="dcterms:W3CDTF">2021-11-18T09:10:00Z</dcterms:created>
  <dcterms:modified xsi:type="dcterms:W3CDTF">2021-11-18T09:11:00Z</dcterms:modified>
</cp:coreProperties>
</file>