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E5B" w:rsidRPr="00EB3E5B" w:rsidRDefault="00136ECF" w:rsidP="0078289E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B3E5B">
        <w:rPr>
          <w:rFonts w:ascii="Times New Roman" w:hAnsi="Times New Roman" w:cs="Times New Roman"/>
          <w:b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Порядок дій  у випадку виявлення факту </w:t>
      </w:r>
      <w:proofErr w:type="spellStart"/>
      <w:r w:rsidRPr="00EB3E5B">
        <w:rPr>
          <w:rFonts w:ascii="Times New Roman" w:hAnsi="Times New Roman" w:cs="Times New Roman"/>
          <w:b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булінгу</w:t>
      </w:r>
      <w:proofErr w:type="spellEnd"/>
      <w:r w:rsidRPr="00EB3E5B">
        <w:rPr>
          <w:rFonts w:ascii="Times New Roman" w:hAnsi="Times New Roman" w:cs="Times New Roman"/>
          <w:b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136ECF" w:rsidRPr="00EB3E5B" w:rsidRDefault="00136ECF" w:rsidP="0078289E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B3E5B">
        <w:rPr>
          <w:rFonts w:ascii="Times New Roman" w:hAnsi="Times New Roman" w:cs="Times New Roman"/>
          <w:b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(або загрози його виникнення)</w:t>
      </w:r>
    </w:p>
    <w:p w:rsidR="00136ECF" w:rsidRPr="005046FE" w:rsidRDefault="00136ECF">
      <w:pPr>
        <w:rPr>
          <w:rFonts w:ascii="Times New Roman" w:hAnsi="Times New Roman" w:cs="Times New Roman"/>
          <w:sz w:val="28"/>
          <w:szCs w:val="28"/>
        </w:rPr>
      </w:pPr>
      <w:r w:rsidRPr="005046FE">
        <w:rPr>
          <w:rFonts w:ascii="Times New Roman" w:hAnsi="Times New Roman" w:cs="Times New Roman"/>
          <w:sz w:val="28"/>
          <w:szCs w:val="28"/>
        </w:rPr>
        <w:t xml:space="preserve"> • інцидент розглядається одразу працівником, який став очевидцем, або до кого надійшло звернення з приводу </w:t>
      </w:r>
      <w:proofErr w:type="spellStart"/>
      <w:r w:rsidRPr="005046FE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046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6ECF" w:rsidRPr="005046FE" w:rsidRDefault="00136ECF">
      <w:pPr>
        <w:rPr>
          <w:rFonts w:ascii="Times New Roman" w:hAnsi="Times New Roman" w:cs="Times New Roman"/>
          <w:sz w:val="28"/>
          <w:szCs w:val="28"/>
        </w:rPr>
      </w:pPr>
      <w:r w:rsidRPr="005046FE">
        <w:rPr>
          <w:rFonts w:ascii="Times New Roman" w:hAnsi="Times New Roman" w:cs="Times New Roman"/>
          <w:sz w:val="28"/>
          <w:szCs w:val="28"/>
        </w:rPr>
        <w:t xml:space="preserve">• заклад освіти надає підтримку особі, яка стала жертвою </w:t>
      </w:r>
      <w:proofErr w:type="spellStart"/>
      <w:r w:rsidRPr="005046FE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046FE">
        <w:rPr>
          <w:rFonts w:ascii="Times New Roman" w:hAnsi="Times New Roman" w:cs="Times New Roman"/>
          <w:sz w:val="28"/>
          <w:szCs w:val="28"/>
        </w:rPr>
        <w:t xml:space="preserve">, забезпечуючи припинення будь-яких дій, які можуть створювати фізичний та психологічний тиск; </w:t>
      </w:r>
    </w:p>
    <w:p w:rsidR="005046FE" w:rsidRPr="005046FE" w:rsidRDefault="00136ECF">
      <w:pPr>
        <w:rPr>
          <w:rFonts w:ascii="Times New Roman" w:hAnsi="Times New Roman" w:cs="Times New Roman"/>
          <w:sz w:val="28"/>
          <w:szCs w:val="28"/>
        </w:rPr>
      </w:pPr>
      <w:r w:rsidRPr="005046FE">
        <w:rPr>
          <w:rFonts w:ascii="Times New Roman" w:hAnsi="Times New Roman" w:cs="Times New Roman"/>
          <w:sz w:val="28"/>
          <w:szCs w:val="28"/>
        </w:rPr>
        <w:t xml:space="preserve">• школа повідомляє батькам; </w:t>
      </w:r>
    </w:p>
    <w:p w:rsidR="00136ECF" w:rsidRPr="005046FE" w:rsidRDefault="00136ECF">
      <w:pPr>
        <w:rPr>
          <w:rFonts w:ascii="Times New Roman" w:hAnsi="Times New Roman" w:cs="Times New Roman"/>
          <w:sz w:val="28"/>
          <w:szCs w:val="28"/>
        </w:rPr>
      </w:pPr>
      <w:r w:rsidRPr="005046FE">
        <w:rPr>
          <w:rFonts w:ascii="Times New Roman" w:hAnsi="Times New Roman" w:cs="Times New Roman"/>
          <w:sz w:val="28"/>
          <w:szCs w:val="28"/>
        </w:rPr>
        <w:t xml:space="preserve">представник керівництва спілкується з усіма сторонами конфлікту; </w:t>
      </w:r>
    </w:p>
    <w:p w:rsidR="00136ECF" w:rsidRPr="005046FE" w:rsidRDefault="00136ECF">
      <w:pPr>
        <w:rPr>
          <w:rFonts w:ascii="Times New Roman" w:hAnsi="Times New Roman" w:cs="Times New Roman"/>
          <w:sz w:val="28"/>
          <w:szCs w:val="28"/>
        </w:rPr>
      </w:pPr>
      <w:r w:rsidRPr="005046FE">
        <w:rPr>
          <w:rFonts w:ascii="Times New Roman" w:hAnsi="Times New Roman" w:cs="Times New Roman"/>
          <w:sz w:val="28"/>
          <w:szCs w:val="28"/>
        </w:rPr>
        <w:t xml:space="preserve">• за необхідності застосовують дисциплінарні заходи, які передбачені Статутом або іншими дисциплінарними документами/політиками школи; </w:t>
      </w:r>
    </w:p>
    <w:p w:rsidR="00136ECF" w:rsidRDefault="00136ECF">
      <w:pPr>
        <w:rPr>
          <w:rFonts w:ascii="Times New Roman" w:hAnsi="Times New Roman" w:cs="Times New Roman"/>
          <w:sz w:val="28"/>
          <w:szCs w:val="28"/>
        </w:rPr>
      </w:pPr>
      <w:r w:rsidRPr="005046FE">
        <w:rPr>
          <w:rFonts w:ascii="Times New Roman" w:hAnsi="Times New Roman" w:cs="Times New Roman"/>
          <w:sz w:val="28"/>
          <w:szCs w:val="28"/>
        </w:rPr>
        <w:t xml:space="preserve">• </w:t>
      </w:r>
      <w:r w:rsidR="0078289E">
        <w:rPr>
          <w:rFonts w:ascii="Times New Roman" w:hAnsi="Times New Roman" w:cs="Times New Roman"/>
          <w:sz w:val="28"/>
          <w:szCs w:val="28"/>
        </w:rPr>
        <w:t xml:space="preserve">адміністрація школи </w:t>
      </w:r>
      <w:r w:rsidRPr="005046FE">
        <w:rPr>
          <w:rFonts w:ascii="Times New Roman" w:hAnsi="Times New Roman" w:cs="Times New Roman"/>
          <w:sz w:val="28"/>
          <w:szCs w:val="28"/>
        </w:rPr>
        <w:t xml:space="preserve">працює з ініціатором/ініціаторами та свідками випадку </w:t>
      </w:r>
      <w:proofErr w:type="spellStart"/>
      <w:r w:rsidRPr="005046FE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046FE">
        <w:rPr>
          <w:rFonts w:ascii="Times New Roman" w:hAnsi="Times New Roman" w:cs="Times New Roman"/>
          <w:sz w:val="28"/>
          <w:szCs w:val="28"/>
        </w:rPr>
        <w:t>.</w:t>
      </w:r>
    </w:p>
    <w:p w:rsidR="00830F3E" w:rsidRDefault="00830F3E" w:rsidP="007828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E5B" w:rsidRDefault="0078289E" w:rsidP="0078289E">
      <w:pPr>
        <w:jc w:val="center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EB3E5B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Права та обов’язки педагогічних, працівників, </w:t>
      </w:r>
    </w:p>
    <w:p w:rsidR="0078289E" w:rsidRPr="00EB3E5B" w:rsidRDefault="0078289E" w:rsidP="0078289E">
      <w:pPr>
        <w:jc w:val="center"/>
        <w:rPr>
          <w:rFonts w:ascii="Times New Roman" w:hAnsi="Times New Roman" w:cs="Times New Roman"/>
          <w:color w:val="4472C4" w:themeColor="accent5"/>
          <w:sz w:val="28"/>
          <w:szCs w:val="28"/>
        </w:rPr>
      </w:pPr>
      <w:bookmarkStart w:id="0" w:name="_GoBack"/>
      <w:bookmarkEnd w:id="0"/>
      <w:r w:rsidRPr="00EB3E5B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інших осіб, які залучаються до освітнього процесу:</w:t>
      </w:r>
      <w:r w:rsidRPr="00EB3E5B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</w:p>
    <w:p w:rsidR="005046FE" w:rsidRPr="0078289E" w:rsidRDefault="0078289E" w:rsidP="00830F3E">
      <w:pPr>
        <w:jc w:val="both"/>
        <w:rPr>
          <w:rFonts w:ascii="Times New Roman" w:hAnsi="Times New Roman" w:cs="Times New Roman"/>
          <w:sz w:val="28"/>
          <w:szCs w:val="28"/>
        </w:rPr>
      </w:pPr>
      <w:r w:rsidRPr="0078289E">
        <w:rPr>
          <w:rFonts w:ascii="Times New Roman" w:hAnsi="Times New Roman" w:cs="Times New Roman"/>
          <w:sz w:val="28"/>
          <w:szCs w:val="28"/>
        </w:rPr>
        <w:t xml:space="preserve">повідомляти керівництво закладу освіти про факти </w:t>
      </w:r>
      <w:proofErr w:type="spellStart"/>
      <w:r w:rsidRPr="0078289E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78289E">
        <w:rPr>
          <w:rFonts w:ascii="Times New Roman" w:hAnsi="Times New Roman" w:cs="Times New Roman"/>
          <w:sz w:val="28"/>
          <w:szCs w:val="28"/>
        </w:rPr>
        <w:t xml:space="preserve"> (цькування) стосовно здобувачів освіти, свідком якого вони були особисто або інформацію про які отримали від інших осіб, вживати неві</w:t>
      </w:r>
      <w:r w:rsidR="00830F3E">
        <w:rPr>
          <w:rFonts w:ascii="Times New Roman" w:hAnsi="Times New Roman" w:cs="Times New Roman"/>
          <w:sz w:val="28"/>
          <w:szCs w:val="28"/>
        </w:rPr>
        <w:t xml:space="preserve">дкладних заходів для припинення </w:t>
      </w:r>
      <w:proofErr w:type="spellStart"/>
      <w:r w:rsidRPr="0078289E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78289E">
        <w:rPr>
          <w:rFonts w:ascii="Times New Roman" w:hAnsi="Times New Roman" w:cs="Times New Roman"/>
          <w:sz w:val="28"/>
          <w:szCs w:val="28"/>
        </w:rPr>
        <w:t xml:space="preserve"> (цькування) (частина 2 статті 54 Закону України «Про освіту»).</w:t>
      </w:r>
    </w:p>
    <w:p w:rsidR="00136ECF" w:rsidRDefault="00136ECF"/>
    <w:p w:rsidR="00830F3E" w:rsidRPr="00830F3E" w:rsidRDefault="00830F3E" w:rsidP="00830F3E">
      <w:pPr>
        <w:shd w:val="clear" w:color="auto" w:fill="FFFFFF"/>
        <w:spacing w:before="120" w:after="120" w:line="578" w:lineRule="atLeast"/>
        <w:ind w:left="-284"/>
        <w:jc w:val="center"/>
        <w:outlineLvl w:val="0"/>
        <w:rPr>
          <w:rFonts w:ascii="Times New Roman" w:eastAsia="Times New Roman" w:hAnsi="Times New Roman" w:cs="Times New Roman"/>
          <w:color w:val="1E9CDB"/>
          <w:kern w:val="36"/>
          <w:sz w:val="28"/>
          <w:szCs w:val="28"/>
          <w:lang w:eastAsia="uk-UA"/>
        </w:rPr>
      </w:pPr>
      <w:r w:rsidRPr="00830F3E">
        <w:rPr>
          <w:rFonts w:ascii="Times New Roman" w:eastAsia="Times New Roman" w:hAnsi="Times New Roman" w:cs="Times New Roman"/>
          <w:b/>
          <w:bCs/>
          <w:color w:val="1E9CDB"/>
          <w:kern w:val="36"/>
          <w:sz w:val="28"/>
          <w:szCs w:val="28"/>
          <w:lang w:eastAsia="uk-UA"/>
        </w:rPr>
        <w:t>Телефони довіри </w:t>
      </w:r>
      <w:r w:rsidRPr="00830F3E">
        <w:rPr>
          <w:rFonts w:ascii="Times New Roman" w:eastAsia="Times New Roman" w:hAnsi="Times New Roman" w:cs="Times New Roman"/>
          <w:noProof/>
          <w:color w:val="1E9CDB"/>
          <w:kern w:val="36"/>
          <w:sz w:val="28"/>
          <w:szCs w:val="28"/>
          <w:lang w:eastAsia="uk-UA"/>
        </w:rPr>
        <w:drawing>
          <wp:inline distT="0" distB="0" distL="0" distR="0">
            <wp:extent cx="714375" cy="714375"/>
            <wp:effectExtent l="0" t="0" r="9525" b="9525"/>
            <wp:docPr id="1" name="Рисунок 1" descr="https://don.kyivcity.gov.ua/files/2019/2/22/mobile-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n.kyivcity.gov.ua/files/2019/2/22/mobile-ph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F3E" w:rsidRPr="00830F3E" w:rsidRDefault="00830F3E" w:rsidP="00830F3E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            - </w:t>
      </w:r>
      <w:r w:rsidRPr="00830F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hyperlink r:id="rId6" w:history="1">
        <w:r w:rsidRPr="00830F3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Д</w:t>
        </w:r>
      </w:hyperlink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итяча лінія </w:t>
      </w:r>
      <w:r w:rsidRPr="00830F3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uk-UA"/>
        </w:rPr>
        <w:t>116 111</w:t>
      </w:r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або </w:t>
      </w:r>
      <w:r w:rsidRPr="00830F3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uk-UA"/>
        </w:rPr>
        <w:t>0 800 500 225</w:t>
      </w:r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(з 12.00 до 16.00);</w:t>
      </w:r>
    </w:p>
    <w:p w:rsidR="00830F3E" w:rsidRPr="00830F3E" w:rsidRDefault="00830F3E" w:rsidP="00830F3E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             -  Гаряча телефонна лінія щодо </w:t>
      </w:r>
      <w:proofErr w:type="spellStart"/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бул</w:t>
      </w:r>
      <w:proofErr w:type="spellEnd"/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інгу</w:t>
      </w:r>
      <w:r w:rsidRPr="00830F3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uk-UA"/>
        </w:rPr>
        <w:t> 116 000</w:t>
      </w:r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;</w:t>
      </w:r>
    </w:p>
    <w:p w:rsidR="00830F3E" w:rsidRPr="00830F3E" w:rsidRDefault="00830F3E" w:rsidP="00830F3E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            -  Гаряча лінія з питань запобігання насильству </w:t>
      </w:r>
      <w:r w:rsidRPr="00830F3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uk-UA"/>
        </w:rPr>
        <w:t>116 123</w:t>
      </w:r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або </w:t>
      </w:r>
      <w:r w:rsidRPr="00830F3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uk-UA"/>
        </w:rPr>
        <w:t>0 800 500 335</w:t>
      </w:r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;</w:t>
      </w:r>
    </w:p>
    <w:p w:rsidR="00830F3E" w:rsidRPr="00830F3E" w:rsidRDefault="00830F3E" w:rsidP="00830F3E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            -  Уповноважений Верховної Ради з прав людини </w:t>
      </w:r>
      <w:r w:rsidRPr="00830F3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uk-UA"/>
        </w:rPr>
        <w:t>0 800 50 17 20</w:t>
      </w:r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;</w:t>
      </w:r>
    </w:p>
    <w:p w:rsidR="00830F3E" w:rsidRPr="00830F3E" w:rsidRDefault="00830F3E" w:rsidP="00830F3E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            -  Уповноважений Президента України з прав дитини</w:t>
      </w:r>
      <w:r w:rsidRPr="00830F3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uk-UA"/>
        </w:rPr>
        <w:t> 044 255 76 76</w:t>
      </w:r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;</w:t>
      </w:r>
    </w:p>
    <w:p w:rsidR="00830F3E" w:rsidRPr="00830F3E" w:rsidRDefault="00830F3E" w:rsidP="00830F3E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            -  Центр надання безоплатної правової допомоги </w:t>
      </w:r>
      <w:r w:rsidRPr="00830F3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uk-UA"/>
        </w:rPr>
        <w:t>0 800 213 103</w:t>
      </w:r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;</w:t>
      </w:r>
    </w:p>
    <w:p w:rsidR="00830F3E" w:rsidRPr="00830F3E" w:rsidRDefault="00830F3E" w:rsidP="00830F3E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            -  Національна поліція України </w:t>
      </w:r>
      <w:r w:rsidRPr="00830F3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uk-UA"/>
        </w:rPr>
        <w:t>102</w:t>
      </w:r>
      <w:r w:rsidRPr="00830F3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. </w:t>
      </w:r>
    </w:p>
    <w:p w:rsidR="00136ECF" w:rsidRPr="00830F3E" w:rsidRDefault="00136ECF">
      <w:pPr>
        <w:rPr>
          <w:rFonts w:ascii="Times New Roman" w:hAnsi="Times New Roman" w:cs="Times New Roman"/>
          <w:sz w:val="28"/>
          <w:szCs w:val="28"/>
        </w:rPr>
      </w:pPr>
    </w:p>
    <w:p w:rsidR="00CF088A" w:rsidRDefault="00CF088A"/>
    <w:p w:rsidR="00830F3E" w:rsidRPr="00CF088A" w:rsidRDefault="00830F3E">
      <w:pPr>
        <w:rPr>
          <w:rFonts w:ascii="Times New Roman" w:hAnsi="Times New Roman" w:cs="Times New Roman"/>
          <w:sz w:val="36"/>
          <w:szCs w:val="36"/>
        </w:rPr>
      </w:pPr>
    </w:p>
    <w:p w:rsidR="00CF088A" w:rsidRDefault="00CF088A"/>
    <w:sectPr w:rsidR="00CF088A" w:rsidSect="00830F3E">
      <w:pgSz w:w="11906" w:h="16838"/>
      <w:pgMar w:top="850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1A"/>
    <w:rsid w:val="00136ECF"/>
    <w:rsid w:val="001F69FD"/>
    <w:rsid w:val="002F5324"/>
    <w:rsid w:val="003C1E5F"/>
    <w:rsid w:val="005046FE"/>
    <w:rsid w:val="0078289E"/>
    <w:rsid w:val="00830F3E"/>
    <w:rsid w:val="00CE5EDE"/>
    <w:rsid w:val="00CF088A"/>
    <w:rsid w:val="00EB3E5B"/>
    <w:rsid w:val="00FA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0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F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830F3E"/>
    <w:rPr>
      <w:b/>
      <w:bCs/>
    </w:rPr>
  </w:style>
  <w:style w:type="paragraph" w:styleId="a4">
    <w:name w:val="Normal (Web)"/>
    <w:basedOn w:val="a"/>
    <w:uiPriority w:val="99"/>
    <w:semiHidden/>
    <w:unhideWhenUsed/>
    <w:rsid w:val="0083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830F3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30F3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B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0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F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830F3E"/>
    <w:rPr>
      <w:b/>
      <w:bCs/>
    </w:rPr>
  </w:style>
  <w:style w:type="paragraph" w:styleId="a4">
    <w:name w:val="Normal (Web)"/>
    <w:basedOn w:val="a"/>
    <w:uiPriority w:val="99"/>
    <w:semiHidden/>
    <w:unhideWhenUsed/>
    <w:rsid w:val="0083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830F3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30F3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B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2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n.kyivcity.gov.ua/files/2019/2/14/buling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7ZipService</cp:lastModifiedBy>
  <cp:revision>8</cp:revision>
  <dcterms:created xsi:type="dcterms:W3CDTF">2020-08-25T12:55:00Z</dcterms:created>
  <dcterms:modified xsi:type="dcterms:W3CDTF">2021-10-08T18:52:00Z</dcterms:modified>
</cp:coreProperties>
</file>