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D" w:rsidRPr="00D50397" w:rsidRDefault="009B0CBD" w:rsidP="009B0C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Н</w:t>
      </w:r>
      <w:r w:rsidRPr="00D50397">
        <w:rPr>
          <w:rFonts w:ascii="Times New Roman" w:hAnsi="Times New Roman"/>
          <w:b/>
          <w:sz w:val="24"/>
          <w:szCs w:val="24"/>
          <w:u w:val="single"/>
          <w:lang w:val="uk-UA"/>
        </w:rPr>
        <w:t>авчальний план</w:t>
      </w:r>
    </w:p>
    <w:p w:rsidR="009B0CBD" w:rsidRPr="00D50397" w:rsidRDefault="009B0CBD" w:rsidP="009B0C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50397">
        <w:rPr>
          <w:rFonts w:ascii="Times New Roman" w:hAnsi="Times New Roman"/>
          <w:sz w:val="24"/>
          <w:szCs w:val="24"/>
          <w:lang w:val="uk-UA"/>
        </w:rPr>
        <w:t>Опришенської</w:t>
      </w:r>
      <w:proofErr w:type="spellEnd"/>
      <w:r w:rsidRPr="00D50397">
        <w:rPr>
          <w:rFonts w:ascii="Times New Roman" w:hAnsi="Times New Roman"/>
          <w:sz w:val="24"/>
          <w:szCs w:val="24"/>
          <w:lang w:val="uk-UA"/>
        </w:rPr>
        <w:t xml:space="preserve"> загальноосвітньої школи І –</w:t>
      </w:r>
      <w:r>
        <w:rPr>
          <w:rFonts w:ascii="Times New Roman" w:hAnsi="Times New Roman"/>
          <w:sz w:val="24"/>
          <w:szCs w:val="24"/>
          <w:lang w:val="uk-UA"/>
        </w:rPr>
        <w:t xml:space="preserve"> ІІІ ступенів Глибоцької селищної ради</w:t>
      </w:r>
    </w:p>
    <w:p w:rsidR="009B0CBD" w:rsidRPr="00335B10" w:rsidRDefault="009B0CBD" w:rsidP="009B0CB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-4 класів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5F639C">
        <w:rPr>
          <w:rFonts w:ascii="Times New Roman" w:eastAsia="Calibri" w:hAnsi="Times New Roman"/>
          <w:sz w:val="24"/>
          <w:szCs w:val="24"/>
          <w:lang w:val="uk-UA" w:eastAsia="uk-UA" w:bidi="uk-UA"/>
        </w:rPr>
        <w:t>з н</w:t>
      </w:r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>авчанням румунською мовою для 1-</w:t>
      </w:r>
      <w:r w:rsidRPr="00335B10">
        <w:rPr>
          <w:rFonts w:ascii="Times New Roman" w:eastAsia="Calibri" w:hAnsi="Times New Roman"/>
          <w:sz w:val="24"/>
          <w:szCs w:val="24"/>
          <w:lang w:eastAsia="uk-UA" w:bidi="uk-UA"/>
        </w:rPr>
        <w:t>4</w:t>
      </w:r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–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>их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uk-UA" w:bidi="uk-UA"/>
        </w:rPr>
        <w:t xml:space="preserve"> класів 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(Відповідно до наказу МОНУ від 2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1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.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03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 xml:space="preserve">.2018 року № 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268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, додаток</w:t>
      </w: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№3 за </w:t>
      </w:r>
      <w:proofErr w:type="spellStart"/>
      <w:r>
        <w:rPr>
          <w:rFonts w:ascii="Times New Roman" w:hAnsi="Times New Roman"/>
          <w:b/>
          <w:i/>
          <w:sz w:val="24"/>
          <w:szCs w:val="24"/>
          <w:lang w:val="uk-UA"/>
        </w:rPr>
        <w:t>Савчинко</w:t>
      </w:r>
      <w:proofErr w:type="spellEnd"/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О.Я.</w:t>
      </w:r>
      <w:r w:rsidRPr="00D50397">
        <w:rPr>
          <w:rFonts w:ascii="Times New Roman" w:hAnsi="Times New Roman"/>
          <w:b/>
          <w:i/>
          <w:sz w:val="24"/>
          <w:szCs w:val="24"/>
          <w:lang w:val="uk-UA"/>
        </w:rPr>
        <w:t>)</w:t>
      </w:r>
      <w:r>
        <w:rPr>
          <w:rFonts w:ascii="Times New Roman" w:hAnsi="Times New Roman"/>
          <w:b/>
          <w:i/>
          <w:sz w:val="24"/>
          <w:szCs w:val="24"/>
          <w:lang w:val="uk-UA"/>
        </w:rPr>
        <w:t>, зі змінами затвердженими постановою КМУ 688 від 24.07.2019 року, для 4 класу</w:t>
      </w:r>
    </w:p>
    <w:p w:rsidR="009B0CBD" w:rsidRPr="0099551A" w:rsidRDefault="009B0CBD" w:rsidP="009B0CBD">
      <w:pPr>
        <w:spacing w:after="0"/>
        <w:rPr>
          <w:rFonts w:ascii="Times New Roman" w:hAnsi="Times New Roman"/>
          <w:sz w:val="24"/>
          <w:szCs w:val="24"/>
          <w:u w:val="single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551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9B0CBD" w:rsidRPr="0099551A" w:rsidTr="00370F61">
        <w:trPr>
          <w:trHeight w:val="285"/>
        </w:trPr>
        <w:tc>
          <w:tcPr>
            <w:tcW w:w="2411" w:type="dxa"/>
          </w:tcPr>
          <w:p w:rsidR="009B0CBD" w:rsidRPr="0099551A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Основні галузі </w:t>
            </w:r>
          </w:p>
        </w:tc>
        <w:tc>
          <w:tcPr>
            <w:tcW w:w="2551" w:type="dxa"/>
            <w:vMerge w:val="restart"/>
          </w:tcPr>
          <w:p w:rsidR="009B0CBD" w:rsidRPr="00995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>Навчальні предмети</w:t>
            </w:r>
          </w:p>
        </w:tc>
        <w:tc>
          <w:tcPr>
            <w:tcW w:w="5670" w:type="dxa"/>
            <w:gridSpan w:val="8"/>
          </w:tcPr>
          <w:p w:rsidR="009B0CBD" w:rsidRPr="00995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551A"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 на тиждень у класах</w:t>
            </w:r>
          </w:p>
        </w:tc>
      </w:tr>
      <w:tr w:rsidR="009B0CBD" w:rsidRPr="00D50638" w:rsidTr="00370F61">
        <w:trPr>
          <w:trHeight w:val="194"/>
        </w:trPr>
        <w:tc>
          <w:tcPr>
            <w:tcW w:w="2411" w:type="dxa"/>
            <w:vMerge w:val="restart"/>
          </w:tcPr>
          <w:p w:rsidR="009B0CBD" w:rsidRPr="008B6E11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9B0CBD" w:rsidRPr="008B6E11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6E11">
              <w:rPr>
                <w:rFonts w:ascii="Times New Roman" w:hAnsi="Times New Roman"/>
                <w:sz w:val="24"/>
                <w:szCs w:val="24"/>
                <w:lang w:val="uk-UA"/>
              </w:rPr>
              <w:t>Мови і літератури(</w:t>
            </w:r>
            <w:proofErr w:type="spellStart"/>
            <w:r w:rsidRPr="008B6E11">
              <w:rPr>
                <w:rFonts w:ascii="Times New Roman" w:hAnsi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8B6E1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літературний компоненти)</w:t>
            </w:r>
          </w:p>
        </w:tc>
        <w:tc>
          <w:tcPr>
            <w:tcW w:w="2551" w:type="dxa"/>
            <w:vMerge/>
          </w:tcPr>
          <w:p w:rsidR="009B0CBD" w:rsidRPr="008B6E11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1-А</w:t>
            </w:r>
          </w:p>
        </w:tc>
        <w:tc>
          <w:tcPr>
            <w:tcW w:w="709" w:type="dxa"/>
          </w:tcPr>
          <w:p w:rsidR="009B0CBD" w:rsidRPr="00542E9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1-Б</w:t>
            </w:r>
          </w:p>
        </w:tc>
        <w:tc>
          <w:tcPr>
            <w:tcW w:w="708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 w:rsidRPr="0096575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-А</w:t>
            </w:r>
          </w:p>
        </w:tc>
        <w:tc>
          <w:tcPr>
            <w:tcW w:w="709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3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-</w:t>
            </w:r>
            <w:r w:rsidRPr="0096575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Б</w:t>
            </w:r>
          </w:p>
        </w:tc>
        <w:tc>
          <w:tcPr>
            <w:tcW w:w="709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uk-UA"/>
              </w:rPr>
              <w:t>4-А</w:t>
            </w:r>
          </w:p>
        </w:tc>
        <w:tc>
          <w:tcPr>
            <w:tcW w:w="708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4-Б</w:t>
            </w:r>
          </w:p>
        </w:tc>
        <w:tc>
          <w:tcPr>
            <w:tcW w:w="709" w:type="dxa"/>
          </w:tcPr>
          <w:p w:rsidR="009B0CBD" w:rsidRPr="0096575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575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Pr="0096575F">
              <w:rPr>
                <w:rFonts w:ascii="Times New Roman" w:hAnsi="Times New Roman"/>
                <w:b/>
                <w:sz w:val="20"/>
                <w:szCs w:val="20"/>
              </w:rPr>
              <w:t>-4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Мованавчання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румунська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9B0CBD" w:rsidRPr="009E236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B0CBD" w:rsidRPr="00D77AAD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4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708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9B0CBD" w:rsidRPr="009E236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Українськамова</w:t>
            </w:r>
            <w:proofErr w:type="spellEnd"/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9B0CBD" w:rsidRPr="009E236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B0CBD" w:rsidRPr="00D77AAD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5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9B0CBD" w:rsidRPr="00D11CC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</w:tr>
      <w:tr w:rsidR="009B0CBD" w:rsidRPr="00D50638" w:rsidTr="00370F61">
        <w:trPr>
          <w:trHeight w:val="196"/>
        </w:trPr>
        <w:tc>
          <w:tcPr>
            <w:tcW w:w="2411" w:type="dxa"/>
            <w:vMerge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Іноземнамов</w:t>
            </w:r>
            <w:proofErr w:type="gramStart"/>
            <w:r w:rsidRPr="00D5063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D50638">
              <w:rPr>
                <w:rFonts w:ascii="Times New Roman" w:hAnsi="Times New Roman"/>
                <w:sz w:val="24"/>
                <w:szCs w:val="24"/>
              </w:rPr>
              <w:t>французькамова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B0CBD" w:rsidRPr="00D50638" w:rsidTr="00370F61">
        <w:trPr>
          <w:trHeight w:val="298"/>
        </w:trPr>
        <w:tc>
          <w:tcPr>
            <w:tcW w:w="241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Природознавство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236DB2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B0CBD" w:rsidRPr="00236DB2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9B0CBD" w:rsidRPr="00D50638" w:rsidTr="00370F61">
        <w:trPr>
          <w:trHeight w:val="239"/>
        </w:trPr>
        <w:tc>
          <w:tcPr>
            <w:tcW w:w="241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Суспільствознавство</w:t>
            </w:r>
            <w:proofErr w:type="spellEnd"/>
          </w:p>
        </w:tc>
        <w:tc>
          <w:tcPr>
            <w:tcW w:w="2551" w:type="dxa"/>
          </w:tcPr>
          <w:p w:rsidR="009B0CBD" w:rsidRPr="00EB0284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Громадянська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історична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 Я досліджую світ.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B0CBD" w:rsidRPr="00D50638" w:rsidTr="00370F61">
        <w:trPr>
          <w:trHeight w:val="315"/>
        </w:trPr>
        <w:tc>
          <w:tcPr>
            <w:tcW w:w="241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Мистецтво</w:t>
            </w:r>
            <w:proofErr w:type="gramStart"/>
            <w:r w:rsidRPr="00D50638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D50638">
              <w:rPr>
                <w:rFonts w:ascii="Times New Roman" w:hAnsi="Times New Roman"/>
                <w:sz w:val="24"/>
                <w:szCs w:val="24"/>
              </w:rPr>
              <w:t>узичнемистецтво,образотворчемистецтво</w:t>
            </w:r>
            <w:proofErr w:type="spellEnd"/>
          </w:p>
        </w:tc>
        <w:tc>
          <w:tcPr>
            <w:tcW w:w="709" w:type="dxa"/>
          </w:tcPr>
          <w:p w:rsidR="009B0CBD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0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 w:val="restart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Трудовенавчання</w:t>
            </w:r>
            <w:proofErr w:type="spellEnd"/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236DB2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9B0CBD" w:rsidRPr="00236DB2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E1328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 w:val="restart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Здоров’я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Основиздоров’я</w:t>
            </w:r>
            <w:proofErr w:type="spellEnd"/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9B0CBD" w:rsidRPr="00EB028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B0CBD" w:rsidRPr="00D50638" w:rsidTr="00370F61">
        <w:trPr>
          <w:trHeight w:val="268"/>
        </w:trPr>
        <w:tc>
          <w:tcPr>
            <w:tcW w:w="2411" w:type="dxa"/>
            <w:vMerge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Фізична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708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</w:tr>
      <w:tr w:rsidR="009B0CBD" w:rsidRPr="00D50638" w:rsidTr="00370F61">
        <w:trPr>
          <w:trHeight w:val="268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9B0CBD" w:rsidRPr="009E236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</w:tcPr>
          <w:p w:rsidR="009B0CBD" w:rsidRPr="00E1328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25</w:t>
            </w: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709" w:type="dxa"/>
          </w:tcPr>
          <w:p w:rsidR="009B0CBD" w:rsidRPr="00E1328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Додатковігодини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вивченняпредметівінваріантноїскладової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курсі</w:t>
            </w:r>
            <w:proofErr w:type="gram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вибором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проведенняіндивідуальнихконсультацій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групових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 xml:space="preserve"> занять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06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</w:t>
            </w: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вивченняокремихпредметів</w:t>
            </w:r>
            <w:proofErr w:type="spellEnd"/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E1328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175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490BFB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Румунська мова 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708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11CC3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490BFB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A401CE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708" w:type="dxa"/>
          </w:tcPr>
          <w:p w:rsidR="009B0CBD" w:rsidRPr="00CF051A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  <w:r w:rsidRPr="00D5063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9B0CBD" w:rsidRPr="00D5063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7055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Граничнодопустиметижневенавчальненавантаження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учня</w:t>
            </w:r>
            <w:proofErr w:type="spellEnd"/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709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8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9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9B0CBD" w:rsidRPr="005D0848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54</w:t>
            </w:r>
          </w:p>
        </w:tc>
      </w:tr>
      <w:tr w:rsidR="009B0CBD" w:rsidRPr="00D50638" w:rsidTr="00370F61">
        <w:trPr>
          <w:trHeight w:val="283"/>
        </w:trPr>
        <w:tc>
          <w:tcPr>
            <w:tcW w:w="4962" w:type="dxa"/>
            <w:gridSpan w:val="2"/>
          </w:tcPr>
          <w:p w:rsidR="009B0CBD" w:rsidRPr="00D50638" w:rsidRDefault="009B0CBD" w:rsidP="00370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Сумарнакількістьнавчальних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годин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інваріантної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варіативноїскладових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щофінансується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з бюджет</w:t>
            </w:r>
            <w:proofErr w:type="gramStart"/>
            <w:r w:rsidRPr="00D50638">
              <w:rPr>
                <w:rFonts w:ascii="Times New Roman" w:hAnsi="Times New Roman"/>
                <w:sz w:val="24"/>
                <w:szCs w:val="24"/>
              </w:rPr>
              <w:t>у(</w:t>
            </w:r>
            <w:proofErr w:type="gram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урахуванняподілукласів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D50638">
              <w:rPr>
                <w:rFonts w:ascii="Times New Roman" w:hAnsi="Times New Roman"/>
                <w:sz w:val="24"/>
                <w:szCs w:val="24"/>
              </w:rPr>
              <w:t>групи</w:t>
            </w:r>
            <w:proofErr w:type="spellEnd"/>
            <w:r w:rsidRPr="00D5063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9B0CBD" w:rsidRPr="00EE6D4F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709" w:type="dxa"/>
          </w:tcPr>
          <w:p w:rsidR="009B0CBD" w:rsidRPr="009E3A2D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9B0CBD" w:rsidRPr="001A67D4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9B0CBD" w:rsidRPr="00970557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B0CBD" w:rsidRPr="00490BFB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0B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9B0CBD" w:rsidRPr="007F553C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709" w:type="dxa"/>
          </w:tcPr>
          <w:p w:rsidR="009B0CBD" w:rsidRPr="00E13283" w:rsidRDefault="009B0CBD" w:rsidP="00370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5063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75</w:t>
            </w:r>
          </w:p>
        </w:tc>
      </w:tr>
    </w:tbl>
    <w:p w:rsidR="009B0CBD" w:rsidRPr="006C2F3B" w:rsidRDefault="009B0CBD" w:rsidP="009B0CBD">
      <w:pPr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9B0CBD" w:rsidRPr="006C2F3B" w:rsidRDefault="009B0CBD" w:rsidP="009B0CBD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F3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Освітня програма базової середньої освіти</w:t>
      </w:r>
      <w:r w:rsidRPr="006C2F3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окреслює  організацію закладом 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 і складена </w:t>
      </w:r>
      <w:r w:rsidRPr="006C2F3B">
        <w:rPr>
          <w:rFonts w:ascii="Times New Roman" w:hAnsi="Times New Roman" w:cs="Times New Roman"/>
          <w:sz w:val="24"/>
          <w:szCs w:val="24"/>
          <w:lang w:val="uk-UA"/>
        </w:rPr>
        <w:t>відповідно до Типової освітньої програми закладів загальної середньої освіти ІІ ступеня (наказ Міністерства освіти і науки України від 20.04.2018 № 405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додаток № 2</w:t>
      </w:r>
      <w:r w:rsidRPr="006C2F3B">
        <w:rPr>
          <w:rFonts w:ascii="Times New Roman" w:hAnsi="Times New Roman" w:cs="Times New Roman"/>
          <w:sz w:val="24"/>
          <w:szCs w:val="24"/>
          <w:lang w:val="uk-UA"/>
        </w:rPr>
        <w:t>)з навчанням українською мовою і вивченням мови національної меншини.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(додаток №2).</w:t>
      </w:r>
    </w:p>
    <w:p w:rsidR="009B0CBD" w:rsidRPr="00EB0284" w:rsidRDefault="009B0CBD" w:rsidP="009B0CBD">
      <w:pPr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lastRenderedPageBreak/>
        <w:t>Навчальний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план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дає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цілісне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уявлення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про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змі</w:t>
      </w:r>
      <w:proofErr w:type="gramStart"/>
      <w:r w:rsidRPr="00EC3A4A">
        <w:rPr>
          <w:rFonts w:ascii="Times New Roman" w:eastAsia="Calibri" w:hAnsi="Times New Roman" w:cs="Times New Roman"/>
          <w:sz w:val="24"/>
          <w:szCs w:val="24"/>
        </w:rPr>
        <w:t>ст</w:t>
      </w:r>
      <w:proofErr w:type="spellEnd"/>
      <w:proofErr w:type="gram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і структуру другого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рівня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встановлює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погодинне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співвідношення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між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окремими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предметами за роками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визначає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гранично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допустиме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тижневе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навантаження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учнів.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Навчальний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план 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основної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3A4A">
        <w:rPr>
          <w:rFonts w:ascii="Times New Roman" w:eastAsia="Calibri" w:hAnsi="Times New Roman" w:cs="Times New Roman"/>
          <w:sz w:val="24"/>
          <w:szCs w:val="24"/>
        </w:rPr>
        <w:t>школи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передбачає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реалізацію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освітніх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галузей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Базового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навчального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плану Державного стандарту через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окремі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предмети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Він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охоплює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інваріантну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складову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сформовану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на державному </w:t>
      </w:r>
      <w:proofErr w:type="spellStart"/>
      <w:proofErr w:type="gramStart"/>
      <w:r w:rsidRPr="00EC3A4A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EC3A4A">
        <w:rPr>
          <w:rFonts w:ascii="Times New Roman" w:eastAsia="Calibri" w:hAnsi="Times New Roman" w:cs="Times New Roman"/>
          <w:sz w:val="24"/>
          <w:szCs w:val="24"/>
        </w:rPr>
        <w:t>івні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варіативну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складову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Варіативна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складова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навчального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плану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визначена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урахуванням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особливості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освітнього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процесу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та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індивідуальних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освітніх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потреб учнів та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використовується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proofErr w:type="spellStart"/>
      <w:proofErr w:type="gramStart"/>
      <w:r w:rsidRPr="00EC3A4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EC3A4A">
        <w:rPr>
          <w:rFonts w:ascii="Times New Roman" w:eastAsia="Calibri" w:hAnsi="Times New Roman" w:cs="Times New Roman"/>
          <w:sz w:val="24"/>
          <w:szCs w:val="24"/>
        </w:rPr>
        <w:t>ідсилення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предметів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інваріантної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складової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запровадження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факультативів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курсів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вибором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розширюють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світоглядне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C3A4A">
        <w:rPr>
          <w:rFonts w:ascii="Times New Roman" w:eastAsia="Calibri" w:hAnsi="Times New Roman" w:cs="Times New Roman"/>
          <w:sz w:val="24"/>
          <w:szCs w:val="24"/>
        </w:rPr>
        <w:t>спрямування</w:t>
      </w:r>
      <w:proofErr w:type="spellEnd"/>
      <w:r w:rsidRPr="00EC3A4A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6-9 класів по 0.5 годин на факультатив з «Християнської етики», по 0.5 годин на «Українознавство» 5-9 класах,  0.5 годин на факультативи «Основи екологічних знань» у 9 – А класі, 0.5 історія Чернівецької області у 7 – Б класі.</w:t>
      </w:r>
    </w:p>
    <w:p w:rsidR="00142F81" w:rsidRDefault="00142F81">
      <w:bookmarkStart w:id="0" w:name="_GoBack"/>
      <w:bookmarkEnd w:id="0"/>
    </w:p>
    <w:sectPr w:rsidR="0014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47"/>
    <w:rsid w:val="00142F81"/>
    <w:rsid w:val="00990B47"/>
    <w:rsid w:val="009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2023-04-12T08:26:00Z</dcterms:created>
  <dcterms:modified xsi:type="dcterms:W3CDTF">2023-04-12T08:26:00Z</dcterms:modified>
</cp:coreProperties>
</file>