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BD3" w:rsidRPr="00AE0BD3" w:rsidRDefault="00AE0BD3" w:rsidP="00AE0BD3">
      <w:pPr>
        <w:pStyle w:val="a3"/>
        <w:jc w:val="center"/>
        <w:rPr>
          <w:rFonts w:ascii="Times New Roman" w:hAnsi="Times New Roman" w:cs="Times New Roman"/>
          <w:b/>
          <w:color w:val="538135" w:themeColor="accent6" w:themeShade="BF"/>
          <w:sz w:val="36"/>
          <w:szCs w:val="36"/>
          <w:lang w:eastAsia="ru-RU"/>
        </w:rPr>
      </w:pPr>
      <w:bookmarkStart w:id="0" w:name="_GoBack"/>
      <w:bookmarkEnd w:id="0"/>
      <w:r w:rsidRPr="00AE0BD3">
        <w:rPr>
          <w:rFonts w:ascii="Times New Roman" w:hAnsi="Times New Roman" w:cs="Times New Roman"/>
          <w:b/>
          <w:color w:val="538135" w:themeColor="accent6" w:themeShade="BF"/>
          <w:sz w:val="36"/>
          <w:szCs w:val="36"/>
          <w:lang w:eastAsia="ru-RU"/>
        </w:rPr>
        <w:t>ПІДВИЩЕННЯ КВАЛІФІКАЦІЇ ВЧИТЕЛІВ.</w:t>
      </w:r>
    </w:p>
    <w:p w:rsidR="00AE0BD3" w:rsidRPr="00AE0BD3" w:rsidRDefault="00AE0BD3" w:rsidP="00AE0BD3">
      <w:pPr>
        <w:pStyle w:val="a3"/>
        <w:jc w:val="center"/>
        <w:rPr>
          <w:rFonts w:ascii="Times New Roman" w:hAnsi="Times New Roman" w:cs="Times New Roman"/>
          <w:b/>
          <w:color w:val="538135" w:themeColor="accent6" w:themeShade="BF"/>
          <w:sz w:val="36"/>
          <w:szCs w:val="36"/>
          <w:lang w:eastAsia="ru-RU"/>
        </w:rPr>
      </w:pPr>
      <w:r w:rsidRPr="00AE0BD3">
        <w:rPr>
          <w:rFonts w:ascii="Times New Roman" w:hAnsi="Times New Roman" w:cs="Times New Roman"/>
          <w:b/>
          <w:color w:val="538135" w:themeColor="accent6" w:themeShade="BF"/>
          <w:sz w:val="36"/>
          <w:szCs w:val="36"/>
          <w:lang w:eastAsia="ru-RU"/>
        </w:rPr>
        <w:t>ВІДПОВІДІ НА ОСНОВНІ ЗАПИТАННЯ</w:t>
      </w:r>
    </w:p>
    <w:p w:rsidR="00AE0BD3" w:rsidRPr="00AE0BD3" w:rsidRDefault="00AE0BD3" w:rsidP="00AE0BD3">
      <w:pPr>
        <w:pStyle w:val="a3"/>
        <w:ind w:firstLine="708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Кожен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педагогічний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працівник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закладу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загальної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середньої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освіти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зобов’язаний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підвищувати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свій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професійний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рівень та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педагогічну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майстерність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підвищувати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кваліфікацію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–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тобто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опановувати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нові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та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вдосконалювати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раніше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набуті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компетентності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в межах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своєї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професійної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діяльності або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галузі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знань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(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частина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2,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статті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54 та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частина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6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статті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18 </w:t>
      </w:r>
      <w:hyperlink r:id="rId5" w:anchor="Text" w:tgtFrame="_blank" w:history="1">
        <w:r w:rsidRPr="00AE0BD3">
          <w:rPr>
            <w:rStyle w:val="a5"/>
            <w:rFonts w:ascii="Times New Roman" w:hAnsi="Times New Roman" w:cs="Times New Roman"/>
            <w:color w:val="A9C248"/>
            <w:sz w:val="28"/>
            <w:szCs w:val="28"/>
            <w:bdr w:val="none" w:sz="0" w:space="0" w:color="auto" w:frame="1"/>
          </w:rPr>
          <w:t xml:space="preserve">Закону України “Про </w:t>
        </w:r>
        <w:proofErr w:type="spellStart"/>
        <w:r w:rsidRPr="00AE0BD3">
          <w:rPr>
            <w:rStyle w:val="a5"/>
            <w:rFonts w:ascii="Times New Roman" w:hAnsi="Times New Roman" w:cs="Times New Roman"/>
            <w:color w:val="A9C248"/>
            <w:sz w:val="28"/>
            <w:szCs w:val="28"/>
            <w:bdr w:val="none" w:sz="0" w:space="0" w:color="auto" w:frame="1"/>
          </w:rPr>
          <w:t>освіту</w:t>
        </w:r>
        <w:proofErr w:type="spellEnd"/>
        <w:proofErr w:type="gramStart"/>
        <w:r w:rsidRPr="00AE0BD3">
          <w:rPr>
            <w:rStyle w:val="a5"/>
            <w:rFonts w:ascii="Times New Roman" w:hAnsi="Times New Roman" w:cs="Times New Roman"/>
            <w:color w:val="A9C248"/>
            <w:sz w:val="28"/>
            <w:szCs w:val="28"/>
            <w:bdr w:val="none" w:sz="0" w:space="0" w:color="auto" w:frame="1"/>
          </w:rPr>
          <w:t>” </w:t>
        </w:r>
      </w:hyperlink>
      <w:r w:rsidRPr="00AE0BD3">
        <w:rPr>
          <w:rFonts w:ascii="Times New Roman" w:hAnsi="Times New Roman" w:cs="Times New Roman"/>
          <w:color w:val="141414"/>
          <w:sz w:val="28"/>
          <w:szCs w:val="28"/>
        </w:rPr>
        <w:t>)</w:t>
      </w:r>
      <w:proofErr w:type="gramEnd"/>
      <w:r w:rsidRPr="00AE0BD3">
        <w:rPr>
          <w:rFonts w:ascii="Times New Roman" w:hAnsi="Times New Roman" w:cs="Times New Roman"/>
          <w:color w:val="141414"/>
          <w:sz w:val="28"/>
          <w:szCs w:val="28"/>
        </w:rPr>
        <w:t>.</w:t>
      </w:r>
    </w:p>
    <w:p w:rsidR="00AE0BD3" w:rsidRPr="00AE0BD3" w:rsidRDefault="00AE0BD3" w:rsidP="00AE0BD3">
      <w:pPr>
        <w:pStyle w:val="a3"/>
        <w:ind w:firstLine="708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Процедура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підвищення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визначається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частиною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шостою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статті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59 Закону України “Про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освіту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>” та </w:t>
      </w:r>
      <w:hyperlink r:id="rId6" w:anchor="Text" w:tgtFrame="_blank" w:history="1">
        <w:r w:rsidRPr="00AE0BD3">
          <w:rPr>
            <w:rStyle w:val="a5"/>
            <w:rFonts w:ascii="Times New Roman" w:hAnsi="Times New Roman" w:cs="Times New Roman"/>
            <w:color w:val="A9C248"/>
            <w:sz w:val="28"/>
            <w:szCs w:val="28"/>
            <w:bdr w:val="none" w:sz="0" w:space="0" w:color="auto" w:frame="1"/>
          </w:rPr>
          <w:t xml:space="preserve">Порядком </w:t>
        </w:r>
        <w:proofErr w:type="spellStart"/>
        <w:r w:rsidRPr="00AE0BD3">
          <w:rPr>
            <w:rStyle w:val="a5"/>
            <w:rFonts w:ascii="Times New Roman" w:hAnsi="Times New Roman" w:cs="Times New Roman"/>
            <w:color w:val="A9C248"/>
            <w:sz w:val="28"/>
            <w:szCs w:val="28"/>
            <w:bdr w:val="none" w:sz="0" w:space="0" w:color="auto" w:frame="1"/>
          </w:rPr>
          <w:t>підвищення</w:t>
        </w:r>
        <w:proofErr w:type="spellEnd"/>
        <w:r w:rsidRPr="00AE0BD3">
          <w:rPr>
            <w:rStyle w:val="a5"/>
            <w:rFonts w:ascii="Times New Roman" w:hAnsi="Times New Roman" w:cs="Times New Roman"/>
            <w:color w:val="A9C248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AE0BD3">
          <w:rPr>
            <w:rStyle w:val="a5"/>
            <w:rFonts w:ascii="Times New Roman" w:hAnsi="Times New Roman" w:cs="Times New Roman"/>
            <w:color w:val="A9C248"/>
            <w:sz w:val="28"/>
            <w:szCs w:val="28"/>
            <w:bdr w:val="none" w:sz="0" w:space="0" w:color="auto" w:frame="1"/>
          </w:rPr>
          <w:t>кваліфікації</w:t>
        </w:r>
        <w:proofErr w:type="spellEnd"/>
        <w:r w:rsidRPr="00AE0BD3">
          <w:rPr>
            <w:rStyle w:val="a5"/>
            <w:rFonts w:ascii="Times New Roman" w:hAnsi="Times New Roman" w:cs="Times New Roman"/>
            <w:color w:val="A9C248"/>
            <w:sz w:val="28"/>
            <w:szCs w:val="28"/>
            <w:bdr w:val="none" w:sz="0" w:space="0" w:color="auto" w:frame="1"/>
          </w:rPr>
          <w:t xml:space="preserve"> педагогічних і науково-педагогічних працівників</w:t>
        </w:r>
      </w:hyperlink>
      <w:r w:rsidRPr="00AE0BD3">
        <w:rPr>
          <w:rFonts w:ascii="Times New Roman" w:hAnsi="Times New Roman" w:cs="Times New Roman"/>
          <w:color w:val="141414"/>
          <w:sz w:val="28"/>
          <w:szCs w:val="28"/>
        </w:rPr>
        <w:t>.</w:t>
      </w:r>
    </w:p>
    <w:p w:rsidR="00AE0BD3" w:rsidRPr="00AE0BD3" w:rsidRDefault="00AE0BD3" w:rsidP="00AE0BD3">
      <w:pPr>
        <w:pStyle w:val="a3"/>
        <w:ind w:firstLine="708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Загальний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обсяг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підвищення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вчителя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> </w:t>
      </w:r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 xml:space="preserve">не </w:t>
      </w:r>
      <w:proofErr w:type="spellStart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може</w:t>
      </w:r>
      <w:proofErr w:type="spellEnd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 xml:space="preserve"> бути </w:t>
      </w:r>
      <w:proofErr w:type="spellStart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меншим</w:t>
      </w:r>
      <w:proofErr w:type="spellEnd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 xml:space="preserve"> за 150 годин на </w:t>
      </w:r>
      <w:proofErr w:type="spellStart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п’ять</w:t>
      </w:r>
      <w:proofErr w:type="spellEnd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років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> (пункт 16 </w:t>
      </w:r>
      <w:hyperlink r:id="rId7" w:anchor="n10" w:tgtFrame="_blank" w:history="1">
        <w:r w:rsidRPr="00AE0BD3">
          <w:rPr>
            <w:rStyle w:val="a5"/>
            <w:rFonts w:ascii="Times New Roman" w:hAnsi="Times New Roman" w:cs="Times New Roman"/>
            <w:color w:val="A9C248"/>
            <w:sz w:val="28"/>
            <w:szCs w:val="28"/>
            <w:bdr w:val="none" w:sz="0" w:space="0" w:color="auto" w:frame="1"/>
          </w:rPr>
          <w:t>Порядку</w:t>
        </w:r>
      </w:hyperlink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). Педагог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самостійно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обирає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форми,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різновиди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напрями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, а також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суб’єкта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підвищення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–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тобто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того,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хто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йому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може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надати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освітні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послуги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з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підвищення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(пункт 7 </w:t>
      </w:r>
      <w:hyperlink r:id="rId8" w:anchor="n10" w:tgtFrame="_blank" w:history="1">
        <w:r w:rsidRPr="00AE0BD3">
          <w:rPr>
            <w:rStyle w:val="a5"/>
            <w:rFonts w:ascii="Times New Roman" w:hAnsi="Times New Roman" w:cs="Times New Roman"/>
            <w:color w:val="A9C248"/>
            <w:sz w:val="28"/>
            <w:szCs w:val="28"/>
            <w:bdr w:val="none" w:sz="0" w:space="0" w:color="auto" w:frame="1"/>
          </w:rPr>
          <w:t>Порядку</w:t>
        </w:r>
      </w:hyperlink>
      <w:r w:rsidRPr="00AE0BD3">
        <w:rPr>
          <w:rFonts w:ascii="Times New Roman" w:hAnsi="Times New Roman" w:cs="Times New Roman"/>
          <w:color w:val="141414"/>
          <w:sz w:val="28"/>
          <w:szCs w:val="28"/>
        </w:rPr>
        <w:t>).</w:t>
      </w:r>
    </w:p>
    <w:p w:rsidR="00AE0BD3" w:rsidRDefault="00AE0BD3" w:rsidP="00AE0BD3">
      <w:pPr>
        <w:pStyle w:val="a3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AE0BD3" w:rsidRPr="00AE0BD3" w:rsidRDefault="00AE0BD3" w:rsidP="00AE0BD3">
      <w:pPr>
        <w:pStyle w:val="a3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AE0BD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ЗАТВЕРДЖЕННЯ ПЛАНУ ПІДВИЩЕННЯ КВАЛІФІКАЦІЇ</w:t>
      </w:r>
    </w:p>
    <w:p w:rsidR="00AE0BD3" w:rsidRPr="00AE0BD3" w:rsidRDefault="00AE0BD3" w:rsidP="00AE0BD3">
      <w:pPr>
        <w:pStyle w:val="a3"/>
        <w:ind w:firstLine="708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Підвищення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педпрацівників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закладів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освіти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забезпечують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засновники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(або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уповноважені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ними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органи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) та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органи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управління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відповідних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закладів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освіти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(пункт 1 </w:t>
      </w:r>
      <w:hyperlink r:id="rId9" w:anchor="n10" w:tgtFrame="_blank" w:history="1">
        <w:r w:rsidRPr="00AE0BD3">
          <w:rPr>
            <w:rStyle w:val="a5"/>
            <w:rFonts w:ascii="Times New Roman" w:hAnsi="Times New Roman" w:cs="Times New Roman"/>
            <w:color w:val="A9C248"/>
            <w:sz w:val="28"/>
            <w:szCs w:val="28"/>
            <w:bdr w:val="none" w:sz="0" w:space="0" w:color="auto" w:frame="1"/>
          </w:rPr>
          <w:t>Порядку</w:t>
        </w:r>
      </w:hyperlink>
      <w:r w:rsidRPr="00AE0BD3">
        <w:rPr>
          <w:rFonts w:ascii="Times New Roman" w:hAnsi="Times New Roman" w:cs="Times New Roman"/>
          <w:color w:val="141414"/>
          <w:sz w:val="28"/>
          <w:szCs w:val="28"/>
        </w:rPr>
        <w:t>).</w:t>
      </w:r>
    </w:p>
    <w:p w:rsidR="00AE0BD3" w:rsidRDefault="00AE0BD3" w:rsidP="00AE0BD3">
      <w:pPr>
        <w:pStyle w:val="a3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AE0BD3" w:rsidRPr="00AE0BD3" w:rsidRDefault="00AE0BD3" w:rsidP="00AE0BD3">
      <w:pPr>
        <w:pStyle w:val="a3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AE0BD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СКЛАДАННЯ ОРІЄНТОВНОГО ПЛАНУ ПІДВИЩЕННЯ КВАЛІФІКАЦІЇ</w:t>
      </w:r>
    </w:p>
    <w:p w:rsidR="00AE0BD3" w:rsidRPr="00AE0BD3" w:rsidRDefault="00AE0BD3" w:rsidP="00AE0BD3">
      <w:pPr>
        <w:pStyle w:val="a3"/>
        <w:ind w:firstLine="708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Щороку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в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закладі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освіти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складається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> </w:t>
      </w:r>
      <w:proofErr w:type="spellStart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орієнтовний</w:t>
      </w:r>
      <w:proofErr w:type="spellEnd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 xml:space="preserve"> план </w:t>
      </w:r>
      <w:proofErr w:type="spellStart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підвищення</w:t>
      </w:r>
      <w:proofErr w:type="spellEnd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кваліфікації</w:t>
      </w:r>
      <w:proofErr w:type="spellEnd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педпрацівників</w:t>
      </w:r>
      <w:proofErr w:type="spellEnd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наступний</w:t>
      </w:r>
      <w:proofErr w:type="spellEnd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рік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який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затверджується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педагогічною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радою й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оприлюднюється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на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інформаційному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стенді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закладу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освіти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та на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його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вебсайті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або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сайті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органу, у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сфері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управління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якого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перебуває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заклад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освіти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>, </w:t>
      </w:r>
      <w:proofErr w:type="spellStart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протягом</w:t>
      </w:r>
      <w:proofErr w:type="spellEnd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двох</w:t>
      </w:r>
      <w:proofErr w:type="spellEnd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робочих</w:t>
      </w:r>
      <w:proofErr w:type="spellEnd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днів</w:t>
      </w:r>
      <w:proofErr w:type="spellEnd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 xml:space="preserve"> з дня </w:t>
      </w:r>
      <w:proofErr w:type="spellStart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його</w:t>
      </w:r>
      <w:proofErr w:type="spellEnd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 xml:space="preserve"> затвердження, але не </w:t>
      </w:r>
      <w:proofErr w:type="spellStart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пізніше</w:t>
      </w:r>
      <w:proofErr w:type="spellEnd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 xml:space="preserve"> 25 грудня поточного року</w:t>
      </w:r>
      <w:r w:rsidRPr="00AE0BD3">
        <w:rPr>
          <w:rFonts w:ascii="Times New Roman" w:hAnsi="Times New Roman" w:cs="Times New Roman"/>
          <w:color w:val="141414"/>
          <w:sz w:val="28"/>
          <w:szCs w:val="28"/>
        </w:rPr>
        <w:t>.</w:t>
      </w:r>
    </w:p>
    <w:p w:rsidR="00AE0BD3" w:rsidRPr="00AE0BD3" w:rsidRDefault="00AE0BD3" w:rsidP="00AE0BD3">
      <w:pPr>
        <w:pStyle w:val="a3"/>
        <w:ind w:firstLine="708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План повинен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містити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інформацію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про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загальну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кількість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педпрацівників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, які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підвищуватимуть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кваліфікацію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основні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напрями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та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орієнтовний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перелік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суб’єктів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підвищення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і враховувати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пропозиції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педагогів. На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підставі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орієнтовних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планів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суб’єкти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підвищення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, що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фінансуються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з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обласних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бюджетів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, та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їхні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засновники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щороку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формують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регіональне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замовлення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для потреб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відповідних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областей (пункт 17 </w:t>
      </w:r>
      <w:hyperlink r:id="rId10" w:anchor="n10" w:tgtFrame="_blank" w:history="1">
        <w:r w:rsidRPr="00AE0BD3">
          <w:rPr>
            <w:rStyle w:val="a5"/>
            <w:rFonts w:ascii="Times New Roman" w:hAnsi="Times New Roman" w:cs="Times New Roman"/>
            <w:color w:val="A9C248"/>
            <w:sz w:val="28"/>
            <w:szCs w:val="28"/>
            <w:bdr w:val="none" w:sz="0" w:space="0" w:color="auto" w:frame="1"/>
          </w:rPr>
          <w:t>Порядку</w:t>
        </w:r>
      </w:hyperlink>
      <w:r w:rsidRPr="00AE0BD3">
        <w:rPr>
          <w:rFonts w:ascii="Times New Roman" w:hAnsi="Times New Roman" w:cs="Times New Roman"/>
          <w:color w:val="141414"/>
          <w:sz w:val="28"/>
          <w:szCs w:val="28"/>
        </w:rPr>
        <w:t>).</w:t>
      </w:r>
    </w:p>
    <w:p w:rsidR="00AE0BD3" w:rsidRDefault="00AE0BD3" w:rsidP="00AE0BD3">
      <w:pPr>
        <w:pStyle w:val="a3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AE0BD3" w:rsidRPr="00AE0BD3" w:rsidRDefault="00AE0BD3" w:rsidP="00AE0BD3">
      <w:pPr>
        <w:pStyle w:val="a3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AE0BD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УКЛАДЕННЯ ДОГОВОРУ МІЖ ЗАКЛАДОМ ОСВІТИ ТА СУБ’ЄКТОМ ПІДВИЩЕННЯ КВАЛІФІКАЦІЇ</w:t>
      </w:r>
    </w:p>
    <w:p w:rsidR="00AE0BD3" w:rsidRPr="00AE0BD3" w:rsidRDefault="00AE0BD3" w:rsidP="00AE0BD3">
      <w:pPr>
        <w:pStyle w:val="a3"/>
        <w:ind w:firstLine="708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На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підставі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плану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підвищення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керівник закладу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освіти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(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уповноважена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ним особа)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укладає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між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закладом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освіти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та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суб’єктом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(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суб’єктами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)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підвищення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договір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про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надання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освітніх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послуг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із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підвищення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на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відповідний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рік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(пункт 20 </w:t>
      </w:r>
      <w:hyperlink r:id="rId11" w:anchor="n10" w:tgtFrame="_blank" w:history="1">
        <w:r w:rsidRPr="00AE0BD3">
          <w:rPr>
            <w:rStyle w:val="a5"/>
            <w:rFonts w:ascii="Times New Roman" w:hAnsi="Times New Roman" w:cs="Times New Roman"/>
            <w:color w:val="A9C248"/>
            <w:sz w:val="28"/>
            <w:szCs w:val="28"/>
            <w:bdr w:val="none" w:sz="0" w:space="0" w:color="auto" w:frame="1"/>
          </w:rPr>
          <w:t>Порядку</w:t>
        </w:r>
      </w:hyperlink>
      <w:r w:rsidRPr="00AE0BD3">
        <w:rPr>
          <w:rFonts w:ascii="Times New Roman" w:hAnsi="Times New Roman" w:cs="Times New Roman"/>
          <w:color w:val="141414"/>
          <w:sz w:val="28"/>
          <w:szCs w:val="28"/>
        </w:rPr>
        <w:t>).</w:t>
      </w:r>
    </w:p>
    <w:p w:rsidR="00AE0BD3" w:rsidRPr="00AE0BD3" w:rsidRDefault="00AE0BD3" w:rsidP="00AE0BD3">
      <w:pPr>
        <w:pStyle w:val="a3"/>
        <w:ind w:firstLine="708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AE0BD3">
        <w:rPr>
          <w:rFonts w:ascii="Times New Roman" w:hAnsi="Times New Roman" w:cs="Times New Roman"/>
          <w:color w:val="141414"/>
          <w:sz w:val="28"/>
          <w:szCs w:val="28"/>
        </w:rPr>
        <w:lastRenderedPageBreak/>
        <w:t xml:space="preserve">Не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пізніше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25 грудня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працівник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повинен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повідомити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керівника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закладу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освіти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або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уповноваженій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ним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особі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про стан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проходження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ним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підвищення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у поточному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році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з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додаванням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копій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отриманих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документів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про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підвищення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.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Ця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інформація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зберігається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в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особовій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справі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працівника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відповідно до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законодавства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>.</w:t>
      </w:r>
    </w:p>
    <w:p w:rsidR="00AE0BD3" w:rsidRDefault="00AE0BD3" w:rsidP="00AE0BD3">
      <w:pPr>
        <w:pStyle w:val="a3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AE0BD3" w:rsidRPr="00AE0BD3" w:rsidRDefault="00AE0BD3" w:rsidP="00AE0BD3">
      <w:pPr>
        <w:pStyle w:val="a3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AE0BD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ПРОГРАМА ПІДВИЩЕННЯ КВАЛІФІКАЦІЇ</w:t>
      </w:r>
    </w:p>
    <w:p w:rsidR="00AE0BD3" w:rsidRPr="00AE0BD3" w:rsidRDefault="00AE0BD3" w:rsidP="00AE0BD3">
      <w:pPr>
        <w:pStyle w:val="a3"/>
        <w:ind w:firstLine="708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Суб’єктом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підвищення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може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бути заклад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освіти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або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його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структурний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підрозділ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наукова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установа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або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інша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юридична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чи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фізична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особа,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фізична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особа-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підприємець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, яка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здійснює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освітню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діяльність у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сфері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підвищення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педагогічних працівників (пункт 9 </w:t>
      </w:r>
      <w:hyperlink r:id="rId12" w:anchor="n10" w:tgtFrame="_blank" w:history="1">
        <w:r w:rsidRPr="00AE0BD3">
          <w:rPr>
            <w:rStyle w:val="a5"/>
            <w:rFonts w:ascii="Times New Roman" w:hAnsi="Times New Roman" w:cs="Times New Roman"/>
            <w:color w:val="A9C248"/>
            <w:sz w:val="28"/>
            <w:szCs w:val="28"/>
            <w:bdr w:val="none" w:sz="0" w:space="0" w:color="auto" w:frame="1"/>
          </w:rPr>
          <w:t>Порядку</w:t>
        </w:r>
      </w:hyperlink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).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Саме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суб’єкт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підвищення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затверджує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програму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підвищення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й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видає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педпрацівнику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документ про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підвищення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.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Суб’єкти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підвищення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зобов’язані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оприлюднювати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кожну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власну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програму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підвищення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на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своїх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сайтах (пункт 10 </w:t>
      </w:r>
      <w:hyperlink r:id="rId13" w:anchor="n10" w:tgtFrame="_blank" w:history="1">
        <w:r w:rsidRPr="00AE0BD3">
          <w:rPr>
            <w:rStyle w:val="a5"/>
            <w:rFonts w:ascii="Times New Roman" w:hAnsi="Times New Roman" w:cs="Times New Roman"/>
            <w:color w:val="A9C248"/>
            <w:sz w:val="28"/>
            <w:szCs w:val="28"/>
            <w:bdr w:val="none" w:sz="0" w:space="0" w:color="auto" w:frame="1"/>
          </w:rPr>
          <w:t>Порядку</w:t>
        </w:r>
      </w:hyperlink>
      <w:r w:rsidRPr="00AE0BD3">
        <w:rPr>
          <w:rFonts w:ascii="Times New Roman" w:hAnsi="Times New Roman" w:cs="Times New Roman"/>
          <w:color w:val="141414"/>
          <w:sz w:val="28"/>
          <w:szCs w:val="28"/>
        </w:rPr>
        <w:t>).</w:t>
      </w:r>
    </w:p>
    <w:p w:rsidR="00AE0BD3" w:rsidRPr="00AE0BD3" w:rsidRDefault="00AE0BD3" w:rsidP="00AE0BD3">
      <w:pPr>
        <w:pStyle w:val="a3"/>
        <w:rPr>
          <w:rFonts w:ascii="Times New Roman" w:hAnsi="Times New Roman" w:cs="Times New Roman"/>
          <w:color w:val="141414"/>
          <w:sz w:val="28"/>
          <w:szCs w:val="28"/>
        </w:rPr>
      </w:pPr>
      <w:proofErr w:type="spellStart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Програма</w:t>
      </w:r>
      <w:proofErr w:type="spellEnd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підвищення</w:t>
      </w:r>
      <w:proofErr w:type="spellEnd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кваліфікації</w:t>
      </w:r>
      <w:proofErr w:type="spellEnd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 xml:space="preserve"> повинна </w:t>
      </w:r>
      <w:proofErr w:type="spellStart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містити</w:t>
      </w:r>
      <w:proofErr w:type="spellEnd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інформацію</w:t>
      </w:r>
      <w:proofErr w:type="spellEnd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 xml:space="preserve"> про:</w:t>
      </w:r>
    </w:p>
    <w:p w:rsidR="00AE0BD3" w:rsidRPr="00AE0BD3" w:rsidRDefault="00AE0BD3" w:rsidP="00AE0B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її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розробника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(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розробників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>);</w:t>
      </w:r>
    </w:p>
    <w:p w:rsidR="00AE0BD3" w:rsidRPr="00AE0BD3" w:rsidRDefault="00AE0BD3" w:rsidP="00AE0B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найменування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>;</w:t>
      </w:r>
    </w:p>
    <w:p w:rsidR="00AE0BD3" w:rsidRPr="00AE0BD3" w:rsidRDefault="00AE0BD3" w:rsidP="00AE0B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AE0BD3">
        <w:rPr>
          <w:rFonts w:ascii="Times New Roman" w:hAnsi="Times New Roman" w:cs="Times New Roman"/>
          <w:color w:val="010101"/>
          <w:sz w:val="28"/>
          <w:szCs w:val="28"/>
        </w:rPr>
        <w:t>мету;</w:t>
      </w:r>
    </w:p>
    <w:p w:rsidR="00AE0BD3" w:rsidRPr="00AE0BD3" w:rsidRDefault="00AE0BD3" w:rsidP="00AE0B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напрям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>;</w:t>
      </w:r>
    </w:p>
    <w:p w:rsidR="00AE0BD3" w:rsidRPr="00AE0BD3" w:rsidRDefault="00AE0BD3" w:rsidP="00AE0B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зміст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>;</w:t>
      </w:r>
    </w:p>
    <w:p w:rsidR="00AE0BD3" w:rsidRPr="00AE0BD3" w:rsidRDefault="00AE0BD3" w:rsidP="00AE0B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обсяг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(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тривалість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), що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встановлюється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в годинах та / або кредитах ЄКТС;</w:t>
      </w:r>
    </w:p>
    <w:p w:rsidR="00AE0BD3" w:rsidRPr="00AE0BD3" w:rsidRDefault="00AE0BD3" w:rsidP="00AE0B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форму (форми)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підвищення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>;</w:t>
      </w:r>
    </w:p>
    <w:p w:rsidR="00AE0BD3" w:rsidRPr="00AE0BD3" w:rsidRDefault="00AE0BD3" w:rsidP="00AE0B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перелік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компетентностей, що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вдосконалюватимуться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/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набуватимуться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(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загальні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,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фахові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тощо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>) (пункт 10 </w:t>
      </w:r>
      <w:hyperlink r:id="rId14" w:anchor="n10" w:tgtFrame="_blank" w:history="1">
        <w:r w:rsidRPr="00AE0BD3">
          <w:rPr>
            <w:rStyle w:val="a5"/>
            <w:rFonts w:ascii="Times New Roman" w:hAnsi="Times New Roman" w:cs="Times New Roman"/>
            <w:color w:val="A9C248"/>
            <w:sz w:val="28"/>
            <w:szCs w:val="28"/>
            <w:bdr w:val="none" w:sz="0" w:space="0" w:color="auto" w:frame="1"/>
          </w:rPr>
          <w:t>Порядку</w:t>
        </w:r>
      </w:hyperlink>
      <w:r w:rsidRPr="00AE0BD3">
        <w:rPr>
          <w:rFonts w:ascii="Times New Roman" w:hAnsi="Times New Roman" w:cs="Times New Roman"/>
          <w:color w:val="010101"/>
          <w:sz w:val="28"/>
          <w:szCs w:val="28"/>
        </w:rPr>
        <w:t>).</w:t>
      </w:r>
    </w:p>
    <w:p w:rsidR="00AE0BD3" w:rsidRPr="00AE0BD3" w:rsidRDefault="00AE0BD3" w:rsidP="00AE0BD3">
      <w:pPr>
        <w:pStyle w:val="a3"/>
        <w:ind w:firstLine="708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Окрім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цієї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обов’язкової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інформації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програма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може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містити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й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іншу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інформацію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докладніше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– у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пункті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10 </w:t>
      </w:r>
      <w:hyperlink r:id="rId15" w:anchor="n10" w:tgtFrame="_blank" w:history="1">
        <w:r w:rsidRPr="00AE0BD3">
          <w:rPr>
            <w:rStyle w:val="a5"/>
            <w:rFonts w:ascii="Times New Roman" w:hAnsi="Times New Roman" w:cs="Times New Roman"/>
            <w:color w:val="A9C248"/>
            <w:sz w:val="28"/>
            <w:szCs w:val="28"/>
            <w:bdr w:val="none" w:sz="0" w:space="0" w:color="auto" w:frame="1"/>
          </w:rPr>
          <w:t>Порядку</w:t>
        </w:r>
      </w:hyperlink>
      <w:r w:rsidRPr="00AE0BD3">
        <w:rPr>
          <w:rFonts w:ascii="Times New Roman" w:hAnsi="Times New Roman" w:cs="Times New Roman"/>
          <w:color w:val="141414"/>
          <w:sz w:val="28"/>
          <w:szCs w:val="28"/>
        </w:rPr>
        <w:t>.</w:t>
      </w:r>
    </w:p>
    <w:p w:rsidR="00AE0BD3" w:rsidRPr="00AE0BD3" w:rsidRDefault="00AE0BD3" w:rsidP="00AE0BD3">
      <w:pPr>
        <w:pStyle w:val="a3"/>
        <w:ind w:firstLine="708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Тож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коли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знаходите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на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сайті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курси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підвищення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обов’язково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перевірте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, чи є в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описі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програма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та чи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вказана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в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ній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ця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інформація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>.</w:t>
      </w:r>
    </w:p>
    <w:p w:rsidR="00AE0BD3" w:rsidRPr="00AE0BD3" w:rsidRDefault="00AE0BD3" w:rsidP="00AE0BD3">
      <w:pPr>
        <w:pStyle w:val="a3"/>
        <w:ind w:firstLine="708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Обсяг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(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тривалість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) програми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підвищення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визначається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відповідно до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її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фактичної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тривалості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в годинах без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урахування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самостійної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(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позааудиторної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) роботи або в кредитах ЄКТС з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урахуванням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самостійної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(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позааудиторної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>) роботи (пункт 10 </w:t>
      </w:r>
      <w:hyperlink r:id="rId16" w:anchor="n10" w:tgtFrame="_blank" w:history="1">
        <w:r w:rsidRPr="00AE0BD3">
          <w:rPr>
            <w:rStyle w:val="a5"/>
            <w:rFonts w:ascii="Times New Roman" w:hAnsi="Times New Roman" w:cs="Times New Roman"/>
            <w:color w:val="A9C248"/>
            <w:sz w:val="28"/>
            <w:szCs w:val="28"/>
            <w:bdr w:val="none" w:sz="0" w:space="0" w:color="auto" w:frame="1"/>
          </w:rPr>
          <w:t>Порядку</w:t>
        </w:r>
      </w:hyperlink>
      <w:r w:rsidRPr="00AE0BD3">
        <w:rPr>
          <w:rFonts w:ascii="Times New Roman" w:hAnsi="Times New Roman" w:cs="Times New Roman"/>
          <w:color w:val="141414"/>
          <w:sz w:val="28"/>
          <w:szCs w:val="28"/>
        </w:rPr>
        <w:t>).</w:t>
      </w:r>
    </w:p>
    <w:p w:rsidR="00AE0BD3" w:rsidRDefault="00AE0BD3" w:rsidP="00AE0BD3">
      <w:pPr>
        <w:pStyle w:val="a3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AE0BD3" w:rsidRPr="00AE0BD3" w:rsidRDefault="00AE0BD3" w:rsidP="00AE0BD3">
      <w:pPr>
        <w:pStyle w:val="a3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AE0BD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ЯКИМ МАЄ БУТИ ДОКУМЕНТ ПРО ПІДВИЩЕННЯ КВАЛІФІКАЦІЇ</w:t>
      </w:r>
    </w:p>
    <w:p w:rsidR="00AE0BD3" w:rsidRPr="00AE0BD3" w:rsidRDefault="00AE0BD3" w:rsidP="00AE0BD3">
      <w:pPr>
        <w:pStyle w:val="a3"/>
        <w:ind w:firstLine="708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Документом, що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засвідчує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успішне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проходження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підвищення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може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бути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сертифікат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свідоцтво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та інші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документи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>.</w:t>
      </w:r>
    </w:p>
    <w:p w:rsidR="00AE0BD3" w:rsidRPr="00AE0BD3" w:rsidRDefault="00AE0BD3" w:rsidP="00AE0BD3">
      <w:pPr>
        <w:pStyle w:val="a3"/>
        <w:ind w:firstLine="708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Можна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виокремити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три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основні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вимоги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до документа про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підвищення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: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він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має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бути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виданий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суб’єктом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підвищення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містити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повну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інформацію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>, відповідно до </w:t>
      </w:r>
      <w:hyperlink r:id="rId17" w:anchor="n10" w:tgtFrame="_blank" w:history="1">
        <w:r w:rsidRPr="00AE0BD3">
          <w:rPr>
            <w:rStyle w:val="a5"/>
            <w:rFonts w:ascii="Times New Roman" w:hAnsi="Times New Roman" w:cs="Times New Roman"/>
            <w:color w:val="A9C248"/>
            <w:sz w:val="28"/>
            <w:szCs w:val="28"/>
            <w:bdr w:val="none" w:sz="0" w:space="0" w:color="auto" w:frame="1"/>
          </w:rPr>
          <w:t>Порядку</w:t>
        </w:r>
      </w:hyperlink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, та бути у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спеціальному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реєстрі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>.</w:t>
      </w:r>
    </w:p>
    <w:p w:rsidR="00AE0BD3" w:rsidRPr="00AE0BD3" w:rsidRDefault="00AE0BD3" w:rsidP="00AE0BD3">
      <w:pPr>
        <w:pStyle w:val="a3"/>
        <w:ind w:firstLine="708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Відповідно до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нових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вимог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>, </w:t>
      </w:r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 xml:space="preserve">у </w:t>
      </w:r>
      <w:proofErr w:type="spellStart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документі</w:t>
      </w:r>
      <w:proofErr w:type="spellEnd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обов’язково</w:t>
      </w:r>
      <w:proofErr w:type="spellEnd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зазначається</w:t>
      </w:r>
      <w:proofErr w:type="spellEnd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така</w:t>
      </w:r>
      <w:proofErr w:type="spellEnd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інформація</w:t>
      </w:r>
      <w:proofErr w:type="spellEnd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:</w:t>
      </w:r>
    </w:p>
    <w:p w:rsidR="00AE0BD3" w:rsidRPr="00AE0BD3" w:rsidRDefault="00AE0BD3" w:rsidP="00AE0BD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повне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найменування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суб’єкта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підвищення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(для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юридичних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осіб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) або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прізвище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,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ім’я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та по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батькові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(у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разі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наявності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)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фізичної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особи, </w:t>
      </w:r>
      <w:r w:rsidRPr="00AE0BD3">
        <w:rPr>
          <w:rFonts w:ascii="Times New Roman" w:hAnsi="Times New Roman" w:cs="Times New Roman"/>
          <w:color w:val="010101"/>
          <w:sz w:val="28"/>
          <w:szCs w:val="28"/>
        </w:rPr>
        <w:lastRenderedPageBreak/>
        <w:t xml:space="preserve">яка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надає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освітні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послуги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з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підвищення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педпрацівникам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(для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фізичних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осіб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, у тому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числі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фізичних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осіб-підприємців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>);</w:t>
      </w:r>
    </w:p>
    <w:p w:rsidR="00AE0BD3" w:rsidRPr="00AE0BD3" w:rsidRDefault="00AE0BD3" w:rsidP="00AE0BD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AE0BD3">
        <w:rPr>
          <w:rFonts w:ascii="Times New Roman" w:hAnsi="Times New Roman" w:cs="Times New Roman"/>
          <w:color w:val="010101"/>
          <w:sz w:val="28"/>
          <w:szCs w:val="28"/>
        </w:rPr>
        <w:t>тема (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напрям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,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найменування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),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обсяг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(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тривалість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)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підвищення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у годинах та / або кредитах ЄКТС;</w:t>
      </w:r>
    </w:p>
    <w:p w:rsidR="00AE0BD3" w:rsidRPr="00AE0BD3" w:rsidRDefault="00AE0BD3" w:rsidP="00AE0BD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прізвище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,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ім’я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та по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батькові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(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якщо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є) особи, яка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підвищила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кваліфікацію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>;</w:t>
      </w:r>
    </w:p>
    <w:p w:rsidR="00AE0BD3" w:rsidRPr="00AE0BD3" w:rsidRDefault="00AE0BD3" w:rsidP="00AE0BD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опис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досягнутих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результатів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навчання;</w:t>
      </w:r>
    </w:p>
    <w:p w:rsidR="00AE0BD3" w:rsidRPr="00AE0BD3" w:rsidRDefault="00AE0BD3" w:rsidP="00AE0BD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дата видання та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обліковий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запис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документа;</w:t>
      </w:r>
    </w:p>
    <w:p w:rsidR="00AE0BD3" w:rsidRPr="00AE0BD3" w:rsidRDefault="00AE0BD3" w:rsidP="00AE0BD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найменування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посади (у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разі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наявності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),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прізвище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,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ініціали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особи, яка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підписала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документ від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імені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суб’єкта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підвищення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та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її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підпис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:rsidR="00AE0BD3" w:rsidRPr="00AE0BD3" w:rsidRDefault="00AE0BD3" w:rsidP="00AE0BD3">
      <w:pPr>
        <w:pStyle w:val="a3"/>
        <w:ind w:firstLine="708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Технічний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опис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, дизайн,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спосіб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виготовлення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, порядок видання та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обліку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документа про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підвищення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визначає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сам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суб’єкт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підвищення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(пункт 13 </w:t>
      </w:r>
      <w:hyperlink r:id="rId18" w:anchor="n10" w:tgtFrame="_blank" w:history="1">
        <w:r w:rsidRPr="00AE0BD3">
          <w:rPr>
            <w:rStyle w:val="a5"/>
            <w:rFonts w:ascii="Times New Roman" w:hAnsi="Times New Roman" w:cs="Times New Roman"/>
            <w:color w:val="A9C248"/>
            <w:sz w:val="28"/>
            <w:szCs w:val="28"/>
            <w:bdr w:val="none" w:sz="0" w:space="0" w:color="auto" w:frame="1"/>
          </w:rPr>
          <w:t>Порядку</w:t>
        </w:r>
      </w:hyperlink>
      <w:r w:rsidRPr="00AE0BD3">
        <w:rPr>
          <w:rFonts w:ascii="Times New Roman" w:hAnsi="Times New Roman" w:cs="Times New Roman"/>
          <w:color w:val="141414"/>
          <w:sz w:val="28"/>
          <w:szCs w:val="28"/>
        </w:rPr>
        <w:t>).</w:t>
      </w:r>
    </w:p>
    <w:p w:rsidR="00AE0BD3" w:rsidRPr="00AE0BD3" w:rsidRDefault="00AE0BD3" w:rsidP="00AE0BD3">
      <w:pPr>
        <w:pStyle w:val="a3"/>
        <w:ind w:firstLine="708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Також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створюється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> </w:t>
      </w:r>
      <w:proofErr w:type="spellStart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спеціальний</w:t>
      </w:r>
      <w:proofErr w:type="spellEnd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реєстр</w:t>
      </w:r>
      <w:proofErr w:type="spellEnd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виданих</w:t>
      </w:r>
      <w:proofErr w:type="spellEnd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документів</w:t>
      </w:r>
      <w:proofErr w:type="spellEnd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підвищення</w:t>
      </w:r>
      <w:proofErr w:type="spellEnd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який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дає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змогу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атестаційній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комісії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перевірити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, чи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справді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педагог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пройшов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таке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навчання та чи документ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дійсний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.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Тобто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після того, як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суб’єкт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підвищення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видав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учителю документ,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він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має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оприлюднити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його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в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реєстрі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на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своєму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сайті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> </w:t>
      </w:r>
      <w:proofErr w:type="spellStart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упродовж</w:t>
      </w:r>
      <w:proofErr w:type="spellEnd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 xml:space="preserve"> 15 </w:t>
      </w:r>
      <w:proofErr w:type="spellStart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календарних</w:t>
      </w:r>
      <w:proofErr w:type="spellEnd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днів</w:t>
      </w:r>
      <w:proofErr w:type="spellEnd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 xml:space="preserve"> після видання</w:t>
      </w:r>
      <w:r w:rsidRPr="00AE0BD3">
        <w:rPr>
          <w:rFonts w:ascii="Times New Roman" w:hAnsi="Times New Roman" w:cs="Times New Roman"/>
          <w:color w:val="141414"/>
          <w:sz w:val="28"/>
          <w:szCs w:val="28"/>
        </w:rPr>
        <w:t>.</w:t>
      </w:r>
    </w:p>
    <w:p w:rsidR="00AE0BD3" w:rsidRPr="00AE0BD3" w:rsidRDefault="00AE0BD3" w:rsidP="00AE0BD3">
      <w:pPr>
        <w:pStyle w:val="a3"/>
        <w:ind w:firstLine="708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 xml:space="preserve">У </w:t>
      </w:r>
      <w:proofErr w:type="spellStart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реєстрі</w:t>
      </w:r>
      <w:proofErr w:type="spellEnd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 xml:space="preserve"> документ про </w:t>
      </w:r>
      <w:proofErr w:type="spellStart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підвищення</w:t>
      </w:r>
      <w:proofErr w:type="spellEnd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кваліфікації</w:t>
      </w:r>
      <w:proofErr w:type="spellEnd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має</w:t>
      </w:r>
      <w:proofErr w:type="spellEnd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містити</w:t>
      </w:r>
      <w:proofErr w:type="spellEnd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таку</w:t>
      </w:r>
      <w:proofErr w:type="spellEnd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інформацію</w:t>
      </w:r>
      <w:proofErr w:type="spellEnd"/>
      <w:r w:rsidRPr="00AE0BD3">
        <w:rPr>
          <w:rStyle w:val="a6"/>
          <w:rFonts w:ascii="Times New Roman" w:hAnsi="Times New Roman" w:cs="Times New Roman"/>
          <w:color w:val="010101"/>
          <w:sz w:val="28"/>
          <w:szCs w:val="28"/>
          <w:bdr w:val="none" w:sz="0" w:space="0" w:color="auto" w:frame="1"/>
        </w:rPr>
        <w:t>:</w:t>
      </w:r>
    </w:p>
    <w:p w:rsidR="00AE0BD3" w:rsidRPr="00AE0BD3" w:rsidRDefault="00AE0BD3" w:rsidP="00AE0BD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прізвище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та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ініціали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педпрацівника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,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який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пройшов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підвищення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>;</w:t>
      </w:r>
    </w:p>
    <w:p w:rsidR="00AE0BD3" w:rsidRPr="00AE0BD3" w:rsidRDefault="00AE0BD3" w:rsidP="00AE0BD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форму,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різновид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>, тему (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напрям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,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найменування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)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підвищення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та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його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обсяг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(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тривалість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>) у годинах або кредитах ЄКТС;</w:t>
      </w:r>
    </w:p>
    <w:p w:rsidR="00AE0BD3" w:rsidRPr="00AE0BD3" w:rsidRDefault="00AE0BD3" w:rsidP="00AE0BD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дату видання та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обліковий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запис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документа про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підвищення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(пункт 13 </w:t>
      </w:r>
      <w:hyperlink r:id="rId19" w:anchor="n10" w:tgtFrame="_blank" w:history="1">
        <w:r w:rsidRPr="00AE0BD3">
          <w:rPr>
            <w:rStyle w:val="a5"/>
            <w:rFonts w:ascii="Times New Roman" w:hAnsi="Times New Roman" w:cs="Times New Roman"/>
            <w:color w:val="A9C248"/>
            <w:sz w:val="28"/>
            <w:szCs w:val="28"/>
            <w:bdr w:val="none" w:sz="0" w:space="0" w:color="auto" w:frame="1"/>
          </w:rPr>
          <w:t>Порядку</w:t>
        </w:r>
      </w:hyperlink>
      <w:r w:rsidRPr="00AE0BD3">
        <w:rPr>
          <w:rFonts w:ascii="Times New Roman" w:hAnsi="Times New Roman" w:cs="Times New Roman"/>
          <w:color w:val="010101"/>
          <w:sz w:val="28"/>
          <w:szCs w:val="28"/>
        </w:rPr>
        <w:t> 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потім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посилання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>).</w:t>
      </w:r>
    </w:p>
    <w:p w:rsidR="00AE0BD3" w:rsidRDefault="00AE0BD3" w:rsidP="00AE0BD3">
      <w:pPr>
        <w:pStyle w:val="a3"/>
        <w:ind w:firstLine="708"/>
        <w:jc w:val="both"/>
        <w:rPr>
          <w:rFonts w:ascii="Times New Roman" w:hAnsi="Times New Roman" w:cs="Times New Roman"/>
          <w:color w:val="141414"/>
          <w:sz w:val="28"/>
          <w:szCs w:val="28"/>
        </w:rPr>
      </w:pPr>
    </w:p>
    <w:p w:rsidR="00AE0BD3" w:rsidRPr="00AE0BD3" w:rsidRDefault="00AE0BD3" w:rsidP="00AE0BD3">
      <w:pPr>
        <w:pStyle w:val="a3"/>
        <w:ind w:firstLine="708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З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огляду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на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відсутність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встановлених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законодавством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норм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щорічного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підвищення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необхідного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для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проходження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чергової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атестації, МОН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рекомендувало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атестаційним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комісіям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починаючи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з 2020 року,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встановити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мінімальні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вимоги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щодо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обсягу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(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кількості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годин)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підвищення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педагогічних працівників закладів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загальної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середньої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професійної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(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професійно-технічної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) і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фахової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передвищої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освіти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, а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саме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>:</w:t>
      </w:r>
    </w:p>
    <w:p w:rsidR="00AE0BD3" w:rsidRPr="00AE0BD3" w:rsidRDefault="00AE0BD3" w:rsidP="00AE0BD3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10101"/>
          <w:sz w:val="28"/>
          <w:szCs w:val="28"/>
        </w:rPr>
      </w:pPr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30 годин,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якщо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завершення атестації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припадає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на 2020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рік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>;</w:t>
      </w:r>
    </w:p>
    <w:p w:rsidR="00AE0BD3" w:rsidRPr="00AE0BD3" w:rsidRDefault="00AE0BD3" w:rsidP="00AE0BD3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10101"/>
          <w:sz w:val="28"/>
          <w:szCs w:val="28"/>
        </w:rPr>
      </w:pPr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60 годин,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якщо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завершення атестації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припадає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на 2021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рік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>;</w:t>
      </w:r>
    </w:p>
    <w:p w:rsidR="00AE0BD3" w:rsidRPr="00AE0BD3" w:rsidRDefault="00AE0BD3" w:rsidP="00AE0BD3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10101"/>
          <w:sz w:val="28"/>
          <w:szCs w:val="28"/>
        </w:rPr>
      </w:pPr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90 годин,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якщо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завершення атестації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припадає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на 2022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рік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>;</w:t>
      </w:r>
    </w:p>
    <w:p w:rsidR="00AE0BD3" w:rsidRPr="00AE0BD3" w:rsidRDefault="00AE0BD3" w:rsidP="0094502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150 годин,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якщо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завершення атестації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припадає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на 2023-й та </w:t>
      </w:r>
      <w:proofErr w:type="spellStart"/>
      <w:r w:rsidRPr="00AE0BD3">
        <w:rPr>
          <w:rFonts w:ascii="Times New Roman" w:hAnsi="Times New Roman" w:cs="Times New Roman"/>
          <w:color w:val="010101"/>
          <w:sz w:val="28"/>
          <w:szCs w:val="28"/>
        </w:rPr>
        <w:t>наступні</w:t>
      </w:r>
      <w:proofErr w:type="spellEnd"/>
      <w:r w:rsidRPr="00AE0BD3">
        <w:rPr>
          <w:rFonts w:ascii="Times New Roman" w:hAnsi="Times New Roman" w:cs="Times New Roman"/>
          <w:color w:val="010101"/>
          <w:sz w:val="28"/>
          <w:szCs w:val="28"/>
        </w:rPr>
        <w:t xml:space="preserve"> роки.</w:t>
      </w:r>
    </w:p>
    <w:p w:rsidR="00AE0BD3" w:rsidRPr="00AE0BD3" w:rsidRDefault="00AE0BD3" w:rsidP="00AE0BD3">
      <w:pPr>
        <w:pStyle w:val="a3"/>
        <w:ind w:firstLine="708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AE0BD3">
        <w:rPr>
          <w:rFonts w:ascii="Times New Roman" w:hAnsi="Times New Roman" w:cs="Times New Roman"/>
          <w:color w:val="141414"/>
          <w:sz w:val="28"/>
          <w:szCs w:val="28"/>
        </w:rPr>
        <w:t>Так, 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fldChar w:fldCharType="begin"/>
      </w:r>
      <w:r w:rsidRPr="00AE0BD3">
        <w:rPr>
          <w:rFonts w:ascii="Times New Roman" w:hAnsi="Times New Roman" w:cs="Times New Roman"/>
          <w:color w:val="141414"/>
          <w:sz w:val="28"/>
          <w:szCs w:val="28"/>
        </w:rPr>
        <w:instrText xml:space="preserve"> HYPERLINK "https://eo.gov.ua/wp-content/uploads/2021/06/683_lyst_MON-pidvyshchenian-kvalifikatsii.pdf" \t "_blank" </w:instrText>
      </w:r>
      <w:r w:rsidRPr="00AE0BD3">
        <w:rPr>
          <w:rFonts w:ascii="Times New Roman" w:hAnsi="Times New Roman" w:cs="Times New Roman"/>
          <w:color w:val="141414"/>
          <w:sz w:val="28"/>
          <w:szCs w:val="28"/>
        </w:rPr>
        <w:fldChar w:fldCharType="separate"/>
      </w:r>
      <w:r w:rsidRPr="00AE0BD3">
        <w:rPr>
          <w:rStyle w:val="a5"/>
          <w:rFonts w:ascii="Times New Roman" w:hAnsi="Times New Roman" w:cs="Times New Roman"/>
          <w:color w:val="A9C248"/>
          <w:sz w:val="28"/>
          <w:szCs w:val="28"/>
          <w:bdr w:val="none" w:sz="0" w:space="0" w:color="auto" w:frame="1"/>
        </w:rPr>
        <w:t>Міністерство</w:t>
      </w:r>
      <w:proofErr w:type="spellEnd"/>
      <w:r w:rsidRPr="00AE0BD3">
        <w:rPr>
          <w:rStyle w:val="a5"/>
          <w:rFonts w:ascii="Times New Roman" w:hAnsi="Times New Roman" w:cs="Times New Roman"/>
          <w:color w:val="A9C248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0BD3">
        <w:rPr>
          <w:rStyle w:val="a5"/>
          <w:rFonts w:ascii="Times New Roman" w:hAnsi="Times New Roman" w:cs="Times New Roman"/>
          <w:color w:val="A9C248"/>
          <w:sz w:val="28"/>
          <w:szCs w:val="28"/>
          <w:bdr w:val="none" w:sz="0" w:space="0" w:color="auto" w:frame="1"/>
        </w:rPr>
        <w:t>освіти</w:t>
      </w:r>
      <w:proofErr w:type="spellEnd"/>
      <w:r w:rsidRPr="00AE0BD3">
        <w:rPr>
          <w:rStyle w:val="a5"/>
          <w:rFonts w:ascii="Times New Roman" w:hAnsi="Times New Roman" w:cs="Times New Roman"/>
          <w:color w:val="A9C248"/>
          <w:sz w:val="28"/>
          <w:szCs w:val="28"/>
          <w:bdr w:val="none" w:sz="0" w:space="0" w:color="auto" w:frame="1"/>
        </w:rPr>
        <w:t xml:space="preserve"> і науки </w:t>
      </w:r>
      <w:proofErr w:type="spellStart"/>
      <w:r w:rsidRPr="00AE0BD3">
        <w:rPr>
          <w:rStyle w:val="a5"/>
          <w:rFonts w:ascii="Times New Roman" w:hAnsi="Times New Roman" w:cs="Times New Roman"/>
          <w:color w:val="A9C248"/>
          <w:sz w:val="28"/>
          <w:szCs w:val="28"/>
          <w:bdr w:val="none" w:sz="0" w:space="0" w:color="auto" w:frame="1"/>
        </w:rPr>
        <w:t>надало</w:t>
      </w:r>
      <w:proofErr w:type="spellEnd"/>
      <w:r w:rsidRPr="00AE0BD3">
        <w:rPr>
          <w:rStyle w:val="a5"/>
          <w:rFonts w:ascii="Times New Roman" w:hAnsi="Times New Roman" w:cs="Times New Roman"/>
          <w:color w:val="A9C248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0BD3">
        <w:rPr>
          <w:rStyle w:val="a5"/>
          <w:rFonts w:ascii="Times New Roman" w:hAnsi="Times New Roman" w:cs="Times New Roman"/>
          <w:color w:val="A9C248"/>
          <w:sz w:val="28"/>
          <w:szCs w:val="28"/>
          <w:bdr w:val="none" w:sz="0" w:space="0" w:color="auto" w:frame="1"/>
        </w:rPr>
        <w:t>роз’яснення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fldChar w:fldCharType="end"/>
      </w:r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, суть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яких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у тому, що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педпрацівник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самостійно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визначає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щорічний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обсяг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(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кількість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годин)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підвищення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.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Жодних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вимог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до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встановленого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щорічного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обсягу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годин у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відповідному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плані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підвищення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немає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>.</w:t>
      </w:r>
    </w:p>
    <w:p w:rsidR="00AE0BD3" w:rsidRPr="00AE0BD3" w:rsidRDefault="00AE0BD3" w:rsidP="00AE0BD3">
      <w:pPr>
        <w:pStyle w:val="a3"/>
        <w:ind w:firstLine="708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lastRenderedPageBreak/>
        <w:t>Обсяг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годин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підвищення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педпрацівників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здійснюється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за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накопичувальною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системою. Якщо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обсяг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підвищення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визначається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в кредитах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Європейської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кредитної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трансферно-накопичувальної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системи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, то 1 кредит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дорівнює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30 годинам.</w:t>
      </w:r>
    </w:p>
    <w:p w:rsidR="00AE0BD3" w:rsidRPr="00AE0BD3" w:rsidRDefault="00AE0BD3" w:rsidP="0094502E">
      <w:pPr>
        <w:pStyle w:val="a3"/>
        <w:ind w:firstLine="708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Тому, </w:t>
      </w:r>
      <w:proofErr w:type="spellStart"/>
      <w:r w:rsidRPr="004A3ED4">
        <w:rPr>
          <w:rFonts w:ascii="Times New Roman" w:hAnsi="Times New Roman" w:cs="Times New Roman"/>
          <w:b/>
          <w:color w:val="141414"/>
          <w:sz w:val="28"/>
          <w:szCs w:val="28"/>
        </w:rPr>
        <w:t>якщо</w:t>
      </w:r>
      <w:proofErr w:type="spellEnd"/>
      <w:r w:rsidRPr="004A3ED4">
        <w:rPr>
          <w:rFonts w:ascii="Times New Roman" w:hAnsi="Times New Roman" w:cs="Times New Roman"/>
          <w:b/>
          <w:color w:val="141414"/>
          <w:sz w:val="28"/>
          <w:szCs w:val="28"/>
        </w:rPr>
        <w:t xml:space="preserve"> </w:t>
      </w:r>
      <w:proofErr w:type="spellStart"/>
      <w:r w:rsidRPr="004A3ED4">
        <w:rPr>
          <w:rFonts w:ascii="Times New Roman" w:hAnsi="Times New Roman" w:cs="Times New Roman"/>
          <w:b/>
          <w:color w:val="141414"/>
          <w:sz w:val="28"/>
          <w:szCs w:val="28"/>
        </w:rPr>
        <w:t>дотримано</w:t>
      </w:r>
      <w:proofErr w:type="spellEnd"/>
      <w:r w:rsidRPr="004A3ED4">
        <w:rPr>
          <w:rFonts w:ascii="Times New Roman" w:hAnsi="Times New Roman" w:cs="Times New Roman"/>
          <w:b/>
          <w:color w:val="141414"/>
          <w:sz w:val="28"/>
          <w:szCs w:val="28"/>
        </w:rPr>
        <w:t xml:space="preserve"> </w:t>
      </w:r>
      <w:proofErr w:type="spellStart"/>
      <w:r w:rsidRPr="004A3ED4">
        <w:rPr>
          <w:rFonts w:ascii="Times New Roman" w:hAnsi="Times New Roman" w:cs="Times New Roman"/>
          <w:b/>
          <w:color w:val="141414"/>
          <w:sz w:val="28"/>
          <w:szCs w:val="28"/>
        </w:rPr>
        <w:t>всіх</w:t>
      </w:r>
      <w:proofErr w:type="spellEnd"/>
      <w:r w:rsidRPr="004A3ED4">
        <w:rPr>
          <w:rFonts w:ascii="Times New Roman" w:hAnsi="Times New Roman" w:cs="Times New Roman"/>
          <w:b/>
          <w:color w:val="141414"/>
          <w:sz w:val="28"/>
          <w:szCs w:val="28"/>
        </w:rPr>
        <w:t xml:space="preserve"> норм закону та </w:t>
      </w:r>
      <w:proofErr w:type="spellStart"/>
      <w:r w:rsidRPr="004A3ED4">
        <w:rPr>
          <w:rFonts w:ascii="Times New Roman" w:hAnsi="Times New Roman" w:cs="Times New Roman"/>
          <w:b/>
          <w:color w:val="141414"/>
          <w:sz w:val="28"/>
          <w:szCs w:val="28"/>
        </w:rPr>
        <w:t>між</w:t>
      </w:r>
      <w:proofErr w:type="spellEnd"/>
      <w:r w:rsidRPr="004A3ED4">
        <w:rPr>
          <w:rFonts w:ascii="Times New Roman" w:hAnsi="Times New Roman" w:cs="Times New Roman"/>
          <w:b/>
          <w:color w:val="141414"/>
          <w:sz w:val="28"/>
          <w:szCs w:val="28"/>
        </w:rPr>
        <w:t xml:space="preserve"> закладом </w:t>
      </w:r>
      <w:proofErr w:type="spellStart"/>
      <w:r w:rsidRPr="004A3ED4">
        <w:rPr>
          <w:rFonts w:ascii="Times New Roman" w:hAnsi="Times New Roman" w:cs="Times New Roman"/>
          <w:b/>
          <w:color w:val="141414"/>
          <w:sz w:val="28"/>
          <w:szCs w:val="28"/>
        </w:rPr>
        <w:t>освіти</w:t>
      </w:r>
      <w:proofErr w:type="spellEnd"/>
      <w:r w:rsidRPr="004A3ED4">
        <w:rPr>
          <w:rFonts w:ascii="Times New Roman" w:hAnsi="Times New Roman" w:cs="Times New Roman"/>
          <w:b/>
          <w:color w:val="141414"/>
          <w:sz w:val="28"/>
          <w:szCs w:val="28"/>
        </w:rPr>
        <w:t xml:space="preserve"> й </w:t>
      </w:r>
      <w:proofErr w:type="spellStart"/>
      <w:r w:rsidRPr="004A3ED4">
        <w:rPr>
          <w:rFonts w:ascii="Times New Roman" w:hAnsi="Times New Roman" w:cs="Times New Roman"/>
          <w:b/>
          <w:color w:val="141414"/>
          <w:sz w:val="28"/>
          <w:szCs w:val="28"/>
        </w:rPr>
        <w:t>суб’єктом</w:t>
      </w:r>
      <w:proofErr w:type="spellEnd"/>
      <w:r w:rsidRPr="004A3ED4">
        <w:rPr>
          <w:rFonts w:ascii="Times New Roman" w:hAnsi="Times New Roman" w:cs="Times New Roman"/>
          <w:b/>
          <w:color w:val="141414"/>
          <w:sz w:val="28"/>
          <w:szCs w:val="28"/>
        </w:rPr>
        <w:t xml:space="preserve"> </w:t>
      </w:r>
      <w:proofErr w:type="spellStart"/>
      <w:r w:rsidRPr="004A3ED4">
        <w:rPr>
          <w:rFonts w:ascii="Times New Roman" w:hAnsi="Times New Roman" w:cs="Times New Roman"/>
          <w:b/>
          <w:color w:val="141414"/>
          <w:sz w:val="28"/>
          <w:szCs w:val="28"/>
        </w:rPr>
        <w:t>підвищення</w:t>
      </w:r>
      <w:proofErr w:type="spellEnd"/>
      <w:r w:rsidRPr="004A3ED4">
        <w:rPr>
          <w:rFonts w:ascii="Times New Roman" w:hAnsi="Times New Roman" w:cs="Times New Roman"/>
          <w:b/>
          <w:color w:val="141414"/>
          <w:sz w:val="28"/>
          <w:szCs w:val="28"/>
        </w:rPr>
        <w:t xml:space="preserve"> </w:t>
      </w:r>
      <w:proofErr w:type="spellStart"/>
      <w:r w:rsidRPr="004A3ED4">
        <w:rPr>
          <w:rFonts w:ascii="Times New Roman" w:hAnsi="Times New Roman" w:cs="Times New Roman"/>
          <w:b/>
          <w:color w:val="141414"/>
          <w:sz w:val="28"/>
          <w:szCs w:val="28"/>
        </w:rPr>
        <w:t>кваліфікації</w:t>
      </w:r>
      <w:proofErr w:type="spellEnd"/>
      <w:r w:rsidRPr="004A3ED4">
        <w:rPr>
          <w:rFonts w:ascii="Times New Roman" w:hAnsi="Times New Roman" w:cs="Times New Roman"/>
          <w:b/>
          <w:color w:val="141414"/>
          <w:sz w:val="28"/>
          <w:szCs w:val="28"/>
        </w:rPr>
        <w:t xml:space="preserve"> було </w:t>
      </w:r>
      <w:proofErr w:type="spellStart"/>
      <w:r w:rsidRPr="004A3ED4">
        <w:rPr>
          <w:rFonts w:ascii="Times New Roman" w:hAnsi="Times New Roman" w:cs="Times New Roman"/>
          <w:b/>
          <w:color w:val="141414"/>
          <w:sz w:val="28"/>
          <w:szCs w:val="28"/>
        </w:rPr>
        <w:t>укладено</w:t>
      </w:r>
      <w:proofErr w:type="spellEnd"/>
      <w:r w:rsidRPr="004A3ED4">
        <w:rPr>
          <w:rFonts w:ascii="Times New Roman" w:hAnsi="Times New Roman" w:cs="Times New Roman"/>
          <w:b/>
          <w:color w:val="141414"/>
          <w:sz w:val="28"/>
          <w:szCs w:val="28"/>
        </w:rPr>
        <w:t xml:space="preserve"> </w:t>
      </w:r>
      <w:proofErr w:type="spellStart"/>
      <w:r w:rsidRPr="004A3ED4">
        <w:rPr>
          <w:rFonts w:ascii="Times New Roman" w:hAnsi="Times New Roman" w:cs="Times New Roman"/>
          <w:b/>
          <w:color w:val="141414"/>
          <w:sz w:val="28"/>
          <w:szCs w:val="28"/>
        </w:rPr>
        <w:t>договір</w:t>
      </w:r>
      <w:proofErr w:type="spellEnd"/>
      <w:r w:rsidRPr="004A3ED4">
        <w:rPr>
          <w:rFonts w:ascii="Times New Roman" w:hAnsi="Times New Roman" w:cs="Times New Roman"/>
          <w:b/>
          <w:color w:val="141414"/>
          <w:sz w:val="28"/>
          <w:szCs w:val="28"/>
        </w:rPr>
        <w:t xml:space="preserve"> і </w:t>
      </w:r>
      <w:proofErr w:type="spellStart"/>
      <w:r w:rsidRPr="004A3ED4">
        <w:rPr>
          <w:rFonts w:ascii="Times New Roman" w:hAnsi="Times New Roman" w:cs="Times New Roman"/>
          <w:b/>
          <w:color w:val="141414"/>
          <w:sz w:val="28"/>
          <w:szCs w:val="28"/>
        </w:rPr>
        <w:t>виданий</w:t>
      </w:r>
      <w:proofErr w:type="spellEnd"/>
      <w:r w:rsidRPr="004A3ED4">
        <w:rPr>
          <w:rFonts w:ascii="Times New Roman" w:hAnsi="Times New Roman" w:cs="Times New Roman"/>
          <w:b/>
          <w:color w:val="141414"/>
          <w:sz w:val="28"/>
          <w:szCs w:val="28"/>
        </w:rPr>
        <w:t xml:space="preserve"> </w:t>
      </w:r>
      <w:proofErr w:type="spellStart"/>
      <w:r w:rsidRPr="004A3ED4">
        <w:rPr>
          <w:rFonts w:ascii="Times New Roman" w:hAnsi="Times New Roman" w:cs="Times New Roman"/>
          <w:b/>
          <w:color w:val="141414"/>
          <w:sz w:val="28"/>
          <w:szCs w:val="28"/>
        </w:rPr>
        <w:t>сертифікат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відповідає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нормам пункту 13 </w:t>
      </w:r>
      <w:hyperlink r:id="rId20" w:anchor="n10" w:tgtFrame="_blank" w:history="1">
        <w:r w:rsidRPr="00AE0BD3">
          <w:rPr>
            <w:rStyle w:val="a5"/>
            <w:rFonts w:ascii="Times New Roman" w:hAnsi="Times New Roman" w:cs="Times New Roman"/>
            <w:color w:val="A9C248"/>
            <w:sz w:val="28"/>
            <w:szCs w:val="28"/>
            <w:bdr w:val="none" w:sz="0" w:space="0" w:color="auto" w:frame="1"/>
          </w:rPr>
          <w:t>Порядку</w:t>
        </w:r>
      </w:hyperlink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, не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визнавати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такий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сертифікат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–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це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порушення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чинного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законодавства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>.</w:t>
      </w:r>
    </w:p>
    <w:p w:rsidR="00AE0BD3" w:rsidRPr="00AE0BD3" w:rsidRDefault="00AE0BD3" w:rsidP="0094502E">
      <w:pPr>
        <w:pStyle w:val="a3"/>
        <w:ind w:firstLine="708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Щодо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педагогічних працівників, які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викладають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кілька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предметів, то, відповідно до пункту 15 </w:t>
      </w:r>
      <w:hyperlink r:id="rId21" w:anchor="n10" w:tgtFrame="_blank" w:history="1">
        <w:r w:rsidRPr="00AE0BD3">
          <w:rPr>
            <w:rStyle w:val="a5"/>
            <w:rFonts w:ascii="Times New Roman" w:hAnsi="Times New Roman" w:cs="Times New Roman"/>
            <w:color w:val="A9C248"/>
            <w:sz w:val="28"/>
            <w:szCs w:val="28"/>
            <w:bdr w:val="none" w:sz="0" w:space="0" w:color="auto" w:frame="1"/>
          </w:rPr>
          <w:t>Порядку</w:t>
        </w:r>
      </w:hyperlink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, у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разі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викладання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кількох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навчальних предметів (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дисциплін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)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педагогічні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та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науково-педагогічні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працівники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самостійно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обирають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послідовність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підвищення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за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певними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напрямами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в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міжатестаційний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період у межах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загального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обсягу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(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тривалості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)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підвищення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кваліфікації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визначеного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AE0BD3">
        <w:rPr>
          <w:rFonts w:ascii="Times New Roman" w:hAnsi="Times New Roman" w:cs="Times New Roman"/>
          <w:color w:val="141414"/>
          <w:sz w:val="28"/>
          <w:szCs w:val="28"/>
        </w:rPr>
        <w:t>законодавством</w:t>
      </w:r>
      <w:proofErr w:type="spellEnd"/>
      <w:r w:rsidRPr="00AE0BD3">
        <w:rPr>
          <w:rFonts w:ascii="Times New Roman" w:hAnsi="Times New Roman" w:cs="Times New Roman"/>
          <w:color w:val="141414"/>
          <w:sz w:val="28"/>
          <w:szCs w:val="28"/>
        </w:rPr>
        <w:t>.</w:t>
      </w:r>
    </w:p>
    <w:p w:rsidR="00AE0BD3" w:rsidRPr="00AE0BD3" w:rsidRDefault="00AE0BD3" w:rsidP="00AE0B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6DA9" w:rsidRPr="00AE0BD3" w:rsidRDefault="00F26DA9" w:rsidP="00AE0BD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26DA9" w:rsidRPr="00AE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C636E"/>
    <w:multiLevelType w:val="multilevel"/>
    <w:tmpl w:val="A04C0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55FEF"/>
    <w:multiLevelType w:val="multilevel"/>
    <w:tmpl w:val="42A4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07CC5"/>
    <w:multiLevelType w:val="hybridMultilevel"/>
    <w:tmpl w:val="AAEA61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03598"/>
    <w:multiLevelType w:val="multilevel"/>
    <w:tmpl w:val="6928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F208AD"/>
    <w:multiLevelType w:val="multilevel"/>
    <w:tmpl w:val="0FE8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7B27DC"/>
    <w:multiLevelType w:val="multilevel"/>
    <w:tmpl w:val="A4EA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6A4C52"/>
    <w:multiLevelType w:val="hybridMultilevel"/>
    <w:tmpl w:val="6D3AA8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73ED0"/>
    <w:multiLevelType w:val="hybridMultilevel"/>
    <w:tmpl w:val="CB227D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A418B"/>
    <w:multiLevelType w:val="hybridMultilevel"/>
    <w:tmpl w:val="8396A6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68009E"/>
    <w:multiLevelType w:val="multilevel"/>
    <w:tmpl w:val="D9FA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6A7A23"/>
    <w:multiLevelType w:val="hybridMultilevel"/>
    <w:tmpl w:val="DA50C5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7A"/>
    <w:rsid w:val="002B27FC"/>
    <w:rsid w:val="004A3ED4"/>
    <w:rsid w:val="0094502E"/>
    <w:rsid w:val="00AE0BD3"/>
    <w:rsid w:val="00AF3E7A"/>
    <w:rsid w:val="00F2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CB237-5B50-457F-834B-B787F374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B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B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B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AE0BD3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AE0BD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Normal (Web)"/>
    <w:basedOn w:val="a"/>
    <w:uiPriority w:val="99"/>
    <w:semiHidden/>
    <w:unhideWhenUsed/>
    <w:rsid w:val="00AE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E0BD3"/>
    <w:rPr>
      <w:color w:val="0000FF"/>
      <w:u w:val="single"/>
    </w:rPr>
  </w:style>
  <w:style w:type="character" w:styleId="a6">
    <w:name w:val="Strong"/>
    <w:basedOn w:val="a0"/>
    <w:uiPriority w:val="22"/>
    <w:qFormat/>
    <w:rsid w:val="00AE0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00-2019-%D0%BF" TargetMode="External"/><Relationship Id="rId13" Type="http://schemas.openxmlformats.org/officeDocument/2006/relationships/hyperlink" Target="https://zakon.rada.gov.ua/laws/show/800-2019-%D0%BF" TargetMode="External"/><Relationship Id="rId18" Type="http://schemas.openxmlformats.org/officeDocument/2006/relationships/hyperlink" Target="https://zakon.rada.gov.ua/laws/show/800-2019-%D0%B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800-2019-%D0%BF" TargetMode="External"/><Relationship Id="rId7" Type="http://schemas.openxmlformats.org/officeDocument/2006/relationships/hyperlink" Target="https://zakon.rada.gov.ua/laws/show/800-2019-%D0%BF" TargetMode="External"/><Relationship Id="rId12" Type="http://schemas.openxmlformats.org/officeDocument/2006/relationships/hyperlink" Target="https://zakon.rada.gov.ua/laws/show/800-2019-%D0%BF" TargetMode="External"/><Relationship Id="rId17" Type="http://schemas.openxmlformats.org/officeDocument/2006/relationships/hyperlink" Target="https://zakon.rada.gov.ua/laws/show/800-2019-%D0%BF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800-2019-%D0%BF" TargetMode="External"/><Relationship Id="rId20" Type="http://schemas.openxmlformats.org/officeDocument/2006/relationships/hyperlink" Target="https://zakon.rada.gov.ua/laws/show/800-2019-%D0%B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00-2019-%D0%BF" TargetMode="External"/><Relationship Id="rId11" Type="http://schemas.openxmlformats.org/officeDocument/2006/relationships/hyperlink" Target="https://zakon.rada.gov.ua/laws/show/800-2019-%D0%BF" TargetMode="External"/><Relationship Id="rId5" Type="http://schemas.openxmlformats.org/officeDocument/2006/relationships/hyperlink" Target="https://zakon.rada.gov.ua/laws/show/2145-19" TargetMode="External"/><Relationship Id="rId15" Type="http://schemas.openxmlformats.org/officeDocument/2006/relationships/hyperlink" Target="https://zakon.rada.gov.ua/laws/show/800-2019-%D0%B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akon.rada.gov.ua/laws/show/800-2019-%D0%BF" TargetMode="External"/><Relationship Id="rId19" Type="http://schemas.openxmlformats.org/officeDocument/2006/relationships/hyperlink" Target="https://zakon.rada.gov.ua/laws/show/800-2019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00-2019-%D0%BF" TargetMode="External"/><Relationship Id="rId14" Type="http://schemas.openxmlformats.org/officeDocument/2006/relationships/hyperlink" Target="https://zakon.rada.gov.ua/laws/show/800-2019-%D0%B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2023-11-03T20:33:00Z</dcterms:created>
  <dcterms:modified xsi:type="dcterms:W3CDTF">2023-11-03T20:33:00Z</dcterms:modified>
</cp:coreProperties>
</file>