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23" w:rsidRPr="00D164C2" w:rsidRDefault="00450123" w:rsidP="00450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4</w:t>
      </w:r>
    </w:p>
    <w:p w:rsidR="00450123" w:rsidRPr="00D164C2" w:rsidRDefault="00450123" w:rsidP="004501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наради при директорові</w:t>
      </w:r>
    </w:p>
    <w:p w:rsidR="00450123" w:rsidRDefault="00450123" w:rsidP="004501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970">
        <w:rPr>
          <w:rFonts w:ascii="Times New Roman" w:eastAsia="Calibri" w:hAnsi="Times New Roman" w:cs="Times New Roman"/>
          <w:b/>
          <w:sz w:val="28"/>
          <w:szCs w:val="28"/>
        </w:rPr>
        <w:t>22.11</w:t>
      </w:r>
      <w:r w:rsidRPr="00D164C2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164C2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</w:p>
    <w:p w:rsidR="00450123" w:rsidRPr="00D164C2" w:rsidRDefault="00450123" w:rsidP="004501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0123" w:rsidRPr="00D164C2" w:rsidRDefault="00450123" w:rsidP="00450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Голова: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Світлана ГОЛИК</w:t>
      </w:r>
    </w:p>
    <w:p w:rsidR="00450123" w:rsidRPr="00D164C2" w:rsidRDefault="00450123" w:rsidP="00450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Секретар: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Тетя</w:t>
      </w:r>
      <w:r w:rsidRPr="00D164C2">
        <w:rPr>
          <w:rFonts w:ascii="Times New Roman" w:eastAsia="Calibri" w:hAnsi="Times New Roman" w:cs="Times New Roman"/>
          <w:sz w:val="28"/>
          <w:szCs w:val="28"/>
        </w:rPr>
        <w:t>на ГОЛИК</w:t>
      </w:r>
    </w:p>
    <w:p w:rsidR="00450123" w:rsidRPr="00D164C2" w:rsidRDefault="00450123" w:rsidP="00450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29 осіб (список додається до протоколу)</w:t>
      </w:r>
    </w:p>
    <w:p w:rsidR="00450123" w:rsidRDefault="00450123" w:rsidP="00450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123" w:rsidRPr="00D164C2" w:rsidRDefault="00450123" w:rsidP="00450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123" w:rsidRPr="00877F20" w:rsidRDefault="00450123" w:rsidP="004501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i/>
          <w:sz w:val="28"/>
          <w:szCs w:val="28"/>
        </w:rPr>
        <w:t>Порядок денний:</w:t>
      </w:r>
    </w:p>
    <w:p w:rsidR="00450123" w:rsidRPr="00DB5025" w:rsidRDefault="00450123" w:rsidP="00450123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1.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стан харчування дітей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  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директор 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</w:t>
      </w:r>
    </w:p>
    <w:p w:rsidR="00450123" w:rsidRDefault="00450123" w:rsidP="00450123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       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Формування безпечного освітнього середовища. 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Передумови та шляхи створення  Кодексу безпечного освітнього середовища  (КБОС) навчального закладу.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 xml:space="preserve">Доповідає директор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uk-UA"/>
        </w:rPr>
        <w:t xml:space="preserve"> С.В.</w:t>
      </w:r>
    </w:p>
    <w:p w:rsidR="00450123" w:rsidRDefault="00450123" w:rsidP="00450123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0123" w:rsidRPr="006B7AD1" w:rsidRDefault="00450123" w:rsidP="00450123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0123" w:rsidRPr="003D246D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3D24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1. СЛУХАЛИ: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27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>Голик С.В., директора закладу,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про стан 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харчування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ітей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Вона повідомила, що 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 виконання 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ст. 56 Закону України «Про освіту», ст. 20, 21 Закону України «Про повну загальну середню освіту», ст. 5 Закону України «Про охорону дитинства», ст. 30«Про статус і соціальний захист громадян, які постраждали внаслідок Чорнобильської катастрофи», ст. 7 Закону України «Про забезпечення прав і свобод внутрішньо переміщених осіб», ст. 10 Закону України «Про статус ветеранів війни, гарантії їх соціального захисту», згідно з постановою Кабінету Міністрів України від 19.06.2002 № 856 «Про організацію харчування окремих категорій учнів у загальноосвітніх навчальних закладах», відповідно до вимог Санітарного регламенту для закладів загальної середньої освіти, затвердженого наказом Міністерства охорони здоров’я України від 25.09.2020 № 2205,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організовано харчування в закладі.</w:t>
      </w:r>
    </w:p>
    <w:p w:rsidR="00450123" w:rsidRPr="004F1CF6" w:rsidRDefault="00450123" w:rsidP="0045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 Працівник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рчоблоку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Лисюк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Наталія Сергіївна 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Вітковська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Ганна Миколаївна дотримую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ться режиму харчування, технологічного процесу обробки продуктів (заготівля, зберігання сухих продуктів), вимог утримання приміщення для первинної обробки овочів.   В належному стані перебуває устаткування харчоблоків: наявні плити, виробничі столи, марковані обробні дошки. Слід відзначити, що кухар дотримується перспективного меню, готує страви за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рецептами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Клопотенка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  Н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аявні термометри для визначення температурного режиму в холодильних установках, </w:t>
      </w:r>
      <w:r w:rsidRPr="007E7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гігрометри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та термометр для вимірювання температури м’яса. Проте, проблемою  закладу є недостатнє забезпечення  посудом.</w:t>
      </w:r>
    </w:p>
    <w:p w:rsidR="00450123" w:rsidRPr="004F1CF6" w:rsidRDefault="00450123" w:rsidP="0045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       Адміністрація  закладу на постійному контролі тримає ведення документації харчоблоку. І як результат, згідно п. 23 вищезгаданого Наказу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Міністерства охорони здоров’я правильно оформлене меню-вивіска, наявне примірне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сезонне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чотирьохтижневе меню, затверджене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засновником закладу Іваном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Ковалюком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та погоджене  начальником Головного управління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держпродспоживслужби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Чернівецькій області Сергієм Лазарєвим. Щ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оденне меню вивішене на видному місці. Ведуться картотеки страв, журнали бракеражу готової та сирої продукції, книга складського обл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іку. Вартість обіду становить 30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гривень.</w:t>
      </w:r>
    </w:p>
    <w:p w:rsidR="00450123" w:rsidRPr="004F1CF6" w:rsidRDefault="00450123" w:rsidP="0045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       Питання організації харчування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періодично розглядається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на нараді при директорові;  видано наказ «Про організацію харчування учнів  у 2023/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2024 навчальному році». С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естра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медична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 веде контроль за технологією приготування страв. Однак, контроль якості приготування їжі  черговими по їдальні учителями бажає бути кращим. Із перевіреної документації видно, що не систематично  контролюється   стан організації харчування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закладі черговими учителями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працівники їдальні не завжди дотримуються вимог 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НАССРу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450123" w:rsidRDefault="00450123" w:rsidP="0045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 У харчоблоці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наявна гаряча та холодна проточна вода. Постачальниками продуктів харчування надаються всі потрібні сертифікати відповідності на кожен вид товару, який постачають.              </w:t>
      </w:r>
    </w:p>
    <w:p w:rsidR="00450123" w:rsidRPr="004F1CF6" w:rsidRDefault="00450123" w:rsidP="0045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 питань організації харчування у школі ведеться відповідна діяльність, якою передбачено виконання вимог щодо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пільгового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коштовного харчування учнів 1-11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класів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на 100,50 %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та пільгового харчування школярів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 основі відповідних довідок.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</w:t>
      </w:r>
    </w:p>
    <w:p w:rsidR="00450123" w:rsidRPr="0027329B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2732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1. УХВАЛИЛИ: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Кухарю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Лисюк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Н.С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.: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1.1. Звертати увагу на предметне і чітке виконання вимог щодо організації пільгового харчування, встановлення режиму харчування з обов’язковим покладанням контролю за реалізацією зазначених завдань на відповідального за організацію харчування учнів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1.2. З метою стабільного та якісного харчування учнів закладу та згідно вимог чинного законодавства оформляти документацію з питань організації харчування і контролювати прийом сирих та готових до вживання страв, а також вести щоденний контроль за станом здоров’я працівників їдальні та харчоблоку.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1.3. Посилити контроль за правильним збереженням продукції та термінами її реалізації, відповідальність за якість продуктів харчування, що знаходяться у харчоблоці, контроль за правильністю їхньо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ї закладки, виконання рецептури та  технології приготування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страв.                                                                        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1.4. Забезпечити координацію роботи із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сестрою медичною в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напрямку здійснення контролю за якістю харчуванн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я та виконання його норм.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1.5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отримувати вимог системи НАССР.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 Соціальному педагогу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Гогуш</w:t>
      </w:r>
      <w:proofErr w:type="spellEnd"/>
      <w:r w:rsidRPr="0027329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З.Г.</w:t>
      </w:r>
      <w:r w:rsidRPr="0027329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постійно уточнювати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писки учнів, яким надаються безоплатні обіди, на підставі заяв батьків (осіб, які їх замінюють) та довідок про одержання вищезазначеної допомоги з місця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роботи (навчання, служби)  батьків (осіб, які їх замінюють) або органу соціального захисту за місцем проживання (якщо батьки не працюють, не служать, не вчаться) 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затверджувати наказом по школі.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     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Заступнику директора з 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- виховної роботи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Ю.С. провести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батьківські збори, на яких проінформувати батьків про правила безкоштовного харчування і вимоги до оформлення документів  та порядок організації харчування за кошти батьків.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4. Сестрі-медичній Шевчук Я.В. в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ести контроль за проходженням медогляду працівниками школи і   харчоблок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450123" w:rsidRPr="004F1CF6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5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Черговим учителям систематично проводити перевірку якості приготування їжі.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6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Зав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ідуючому господарством Шевчуку В.В.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вжити заходів щодо заб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езпечення харчоблоку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столовим посудо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миюч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ими та дезінфікуючими засобами.</w:t>
      </w:r>
    </w:p>
    <w:p w:rsidR="00450123" w:rsidRPr="006B7AD1" w:rsidRDefault="00450123" w:rsidP="00450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7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 </w:t>
      </w:r>
    </w:p>
    <w:p w:rsidR="00450123" w:rsidRPr="006B7AD1" w:rsidRDefault="00450123" w:rsidP="00450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F91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СЛУХАЛИ</w:t>
      </w:r>
      <w:r w:rsidRPr="006B7A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450123" w:rsidRPr="000F5408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Голик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С.В., директора, </w:t>
      </w:r>
      <w:r w:rsidRPr="000F5408">
        <w:rPr>
          <w:rFonts w:ascii="Times New Roman" w:eastAsia="Calibri" w:hAnsi="Times New Roman" w:cs="Times New Roman"/>
          <w:sz w:val="28"/>
          <w:szCs w:val="28"/>
        </w:rPr>
        <w:t xml:space="preserve">про формування </w:t>
      </w:r>
      <w:r w:rsidRPr="000F5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безпечного  освітнього середовища.  </w:t>
      </w:r>
      <w:r w:rsidRPr="000F54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5408">
        <w:rPr>
          <w:rFonts w:ascii="Times New Roman" w:hAnsi="Times New Roman" w:cs="Times New Roman"/>
          <w:sz w:val="28"/>
          <w:szCs w:val="28"/>
        </w:rPr>
        <w:t>Одним з компонентів формули Нової української школи є освітнє середовище, яке є безпечним, інклюзивним, сприяє вільному розвитку здобувачів освіти. У розбудові нового освітнього простору треба забезпечити комплексність рішення цього питання, бо мова йде не стільки про оновлення дизайну приміщень закладу освіти, про приведення його у відповідність до вимог безпечності та універсальності, скільки про врахування того, що простір закладу освіти є чинником та інструментом освітньої діяльності</w:t>
      </w:r>
      <w:r w:rsidRPr="000F5408">
        <w:rPr>
          <w:sz w:val="28"/>
          <w:szCs w:val="28"/>
        </w:rPr>
        <w:t>.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Науковий </w:t>
      </w:r>
      <w:r w:rsidRPr="000F5408">
        <w:rPr>
          <w:sz w:val="28"/>
          <w:szCs w:val="28"/>
        </w:rPr>
        <w:t xml:space="preserve"> підхід тлумачить середовище як засіб виховання і як технологію опосередкованого управління (через середовище) процесом формування і розвитку особистості підлітків. Вимоги до ключових якостей освітнього середовища: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● цілісність, єдність і впорядкованість предметно-просторового середовища та візуального сприйняття;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● багатофункціональність, гнучкість та мобільність;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● вікова відповідність;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 xml:space="preserve">● </w:t>
      </w:r>
      <w:proofErr w:type="spellStart"/>
      <w:r w:rsidRPr="000F5408">
        <w:rPr>
          <w:sz w:val="28"/>
          <w:szCs w:val="28"/>
        </w:rPr>
        <w:t>персоналізованість</w:t>
      </w:r>
      <w:proofErr w:type="spellEnd"/>
      <w:r w:rsidRPr="000F5408">
        <w:rPr>
          <w:sz w:val="28"/>
          <w:szCs w:val="28"/>
        </w:rPr>
        <w:t>, наявність особистого простору;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● свобода, відкритість сприйняття, креативність;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● практичність та ергономічність;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● гармонійність та збалансованість;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● соціалізація та співпраця.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Складові освітнього середовища: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- фізичне оточення (стан будівлі, дизайн та доступність приміщень, наявність укриття, можливості розміщення та переміщення учнів);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>- людський фактор (учнівський контингент, наповнюваність класів, підбір учнів, рівень підготовки вчителів);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lastRenderedPageBreak/>
        <w:t>- програми навчання (характер змісту, технології, стиль та методи навчання, форми навчальної діяльності, характер контролю);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sz w:val="28"/>
          <w:szCs w:val="28"/>
        </w:rPr>
        <w:t xml:space="preserve">- інформаційне оточення (технічне забезпечення, контроль, наявність та доступність швидкісного </w:t>
      </w:r>
      <w:proofErr w:type="spellStart"/>
      <w:r w:rsidRPr="000F5408">
        <w:rPr>
          <w:sz w:val="28"/>
          <w:szCs w:val="28"/>
        </w:rPr>
        <w:t>інтернету</w:t>
      </w:r>
      <w:proofErr w:type="spellEnd"/>
      <w:r w:rsidRPr="000F5408">
        <w:rPr>
          <w:sz w:val="28"/>
          <w:szCs w:val="28"/>
        </w:rPr>
        <w:t>, локальна шкільна мережа, власний шкільний сайт, елек</w:t>
      </w:r>
      <w:r>
        <w:rPr>
          <w:sz w:val="28"/>
          <w:szCs w:val="28"/>
        </w:rPr>
        <w:t>тронні ресурси працівників закладу</w:t>
      </w:r>
      <w:r w:rsidRPr="000F5408">
        <w:rPr>
          <w:sz w:val="28"/>
          <w:szCs w:val="28"/>
        </w:rPr>
        <w:t>).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rFonts w:ascii="TimesNewRomanPSMT" w:hAnsi="TimesNewRomanPSMT" w:cs="Arial"/>
          <w:sz w:val="28"/>
          <w:szCs w:val="28"/>
        </w:rPr>
        <w:t>На вимогу часу освітнє середовище повинно бути безпечним, інклюзивним, мотивувальним. Що це означає?</w:t>
      </w:r>
    </w:p>
    <w:p w:rsidR="00450123" w:rsidRPr="000F5408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0F5408">
        <w:rPr>
          <w:rFonts w:ascii="TimesNewRomanPSMT" w:hAnsi="TimesNewRomanPSMT" w:cs="Arial"/>
          <w:sz w:val="28"/>
          <w:szCs w:val="28"/>
        </w:rPr>
        <w:t>Відповідно до ст.1 Закону України «Про повну загальну середню освіту» безпечне освітнє середовище – сукупність умов у закладі освіти, які унеможливлюють заподіяння учасникам освітнього процесу фізичної, майнової та/або моральної шкоди…</w:t>
      </w:r>
    </w:p>
    <w:p w:rsidR="00450123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  <w:lang w:val="ru-RU" w:eastAsia="ru-RU"/>
        </w:rPr>
        <w:drawing>
          <wp:inline distT="0" distB="0" distL="0" distR="0">
            <wp:extent cx="5886450" cy="4286250"/>
            <wp:effectExtent l="0" t="0" r="0" b="0"/>
            <wp:docPr id="1" name="Рисунок 1" descr="https://naurok.com.ua/uploads/files/195783/386755/440702_html/images/386755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195783/386755/440702_html/images/386755%2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23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TimesNewRomanPSMT" w:hAnsi="TimesNewRomanPSMT" w:cs="Arial"/>
          <w:color w:val="333333"/>
          <w:sz w:val="28"/>
          <w:szCs w:val="28"/>
        </w:rPr>
        <w:t>Виокремлюють чотири ознаки безпечного освітнього середовища:</w:t>
      </w:r>
    </w:p>
    <w:p w:rsidR="00450123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TimesNewRomanPS-ItalicMT" w:hAnsi="TimesNewRomanPS-ItalicMT" w:cs="Arial"/>
          <w:color w:val="333333"/>
          <w:sz w:val="28"/>
          <w:szCs w:val="28"/>
        </w:rPr>
        <w:t>1. Якість міжособистісних взаємин, які визначають:</w:t>
      </w:r>
    </w:p>
    <w:p w:rsidR="00450123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TimesNewRomanPSMT" w:hAnsi="TimesNewRomanPSMT" w:cs="Arial"/>
          <w:color w:val="333333"/>
          <w:sz w:val="28"/>
          <w:szCs w:val="28"/>
        </w:rPr>
        <w:t>- позитивні чинники (довіра, доброзичливість, схвалення, толерантність);</w:t>
      </w:r>
    </w:p>
    <w:p w:rsidR="00450123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TimesNewRomanPSMT" w:hAnsi="TimesNewRomanPSMT" w:cs="Arial"/>
          <w:color w:val="333333"/>
          <w:sz w:val="28"/>
          <w:szCs w:val="28"/>
        </w:rPr>
        <w:t xml:space="preserve">- негативні чинники (агресивність, конфліктність, ворожість, </w:t>
      </w:r>
      <w:proofErr w:type="spellStart"/>
      <w:r>
        <w:rPr>
          <w:rFonts w:ascii="TimesNewRomanPSMT" w:hAnsi="TimesNewRomanPSMT" w:cs="Arial"/>
          <w:color w:val="333333"/>
          <w:sz w:val="28"/>
          <w:szCs w:val="28"/>
        </w:rPr>
        <w:t>маніпулятивність</w:t>
      </w:r>
      <w:proofErr w:type="spellEnd"/>
      <w:r>
        <w:rPr>
          <w:rFonts w:ascii="TimesNewRomanPSMT" w:hAnsi="TimesNewRomanPSMT" w:cs="Arial"/>
          <w:color w:val="333333"/>
          <w:sz w:val="28"/>
          <w:szCs w:val="28"/>
        </w:rPr>
        <w:t>);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B7AD1">
        <w:rPr>
          <w:rStyle w:val="a4"/>
          <w:rFonts w:ascii="TimesNewRomanPS-ItalicMT" w:hAnsi="TimesNewRomanPS-ItalicMT" w:cs="Arial"/>
          <w:sz w:val="28"/>
          <w:szCs w:val="28"/>
        </w:rPr>
        <w:t>2. Захищеність в освітньому середовищі: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B7AD1">
        <w:rPr>
          <w:rFonts w:ascii="TimesNewRomanPSMT" w:hAnsi="TimesNewRomanPSMT" w:cs="Arial"/>
          <w:sz w:val="28"/>
          <w:szCs w:val="28"/>
        </w:rPr>
        <w:t>- ознака відсутності насильства у всіх його видах, формах для всіх учасників освітнього процесу;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B7AD1">
        <w:rPr>
          <w:rStyle w:val="a4"/>
          <w:rFonts w:ascii="TimesNewRomanPS-ItalicMT" w:hAnsi="TimesNewRomanPS-ItalicMT" w:cs="Arial"/>
          <w:sz w:val="28"/>
          <w:szCs w:val="28"/>
        </w:rPr>
        <w:t>3. Задоволеність освітнім середовищем – задоволення базових потреб дитини у </w:t>
      </w:r>
      <w:r w:rsidRPr="006B7AD1">
        <w:rPr>
          <w:rFonts w:ascii="TimesNewRomanPSMT" w:hAnsi="TimesNewRomanPSMT" w:cs="Arial"/>
          <w:sz w:val="28"/>
          <w:szCs w:val="28"/>
        </w:rPr>
        <w:t>- допомозі та підтримці;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B7AD1">
        <w:rPr>
          <w:rFonts w:ascii="TimesNewRomanPSMT" w:hAnsi="TimesNewRomanPSMT" w:cs="Arial"/>
          <w:sz w:val="28"/>
          <w:szCs w:val="28"/>
        </w:rPr>
        <w:t>- збереженні та підвищенні її самооцінки;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B7AD1">
        <w:rPr>
          <w:rFonts w:ascii="TimesNewRomanPSMT" w:hAnsi="TimesNewRomanPSMT" w:cs="Arial"/>
          <w:sz w:val="28"/>
          <w:szCs w:val="28"/>
        </w:rPr>
        <w:t>- пізнанні та діяльності;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B7AD1">
        <w:rPr>
          <w:rFonts w:ascii="TimesNewRomanPSMT" w:hAnsi="TimesNewRomanPSMT" w:cs="Arial"/>
          <w:sz w:val="28"/>
          <w:szCs w:val="28"/>
        </w:rPr>
        <w:lastRenderedPageBreak/>
        <w:t>- розвитку здібностей та можливостей;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B7AD1">
        <w:rPr>
          <w:rStyle w:val="a4"/>
          <w:rFonts w:ascii="TimesNewRomanPS-ItalicMT" w:hAnsi="TimesNewRomanPS-ItalicMT" w:cs="Arial"/>
          <w:sz w:val="28"/>
          <w:szCs w:val="28"/>
        </w:rPr>
        <w:t>4. Комфортність освітнього середовища: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B7AD1">
        <w:rPr>
          <w:rFonts w:ascii="TimesNewRomanPSMT" w:hAnsi="TimesNewRomanPSMT" w:cs="Arial"/>
          <w:sz w:val="28"/>
          <w:szCs w:val="28"/>
        </w:rPr>
        <w:t>- оцінка емоцій, почуттів та переживань, що домінують у процесі взаємодії дорослих і дітей в освітньому середовищі закладу.</w:t>
      </w:r>
    </w:p>
    <w:p w:rsidR="00450123" w:rsidRPr="006B7AD1" w:rsidRDefault="00450123" w:rsidP="0045012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  <w:r w:rsidRPr="006B7AD1">
        <w:rPr>
          <w:rFonts w:ascii="TimesNewRomanPSMT" w:hAnsi="TimesNewRomanPSMT" w:cs="Arial"/>
          <w:sz w:val="28"/>
          <w:szCs w:val="28"/>
        </w:rPr>
        <w:t xml:space="preserve">Розбудова інклюзивного освітнього середовища – завдання та спільна відповідальність для всіх учасників </w:t>
      </w:r>
      <w:r>
        <w:rPr>
          <w:rFonts w:ascii="TimesNewRomanPSMT" w:hAnsi="TimesNewRomanPSMT" w:cs="Arial"/>
          <w:color w:val="333333"/>
          <w:sz w:val="28"/>
          <w:szCs w:val="28"/>
        </w:rPr>
        <w:t>освітнього процесу: керівництва закладу, вчителів, учнів, батьків. Створення рівних можливостей навчатися, задоволення освітніх потреб обдарованих дітей, забезпечення доступності будь-якого куточка закладу для дітей з особливими освітніми потребами пов’язано з приведенням модифікації та адаптації освітнього середовища до потреб кожного учня з урахуванням принципів універсального дизайну. Для базової середньої школи питання розбудови нового освітнього простору є дуже актуальним та потребує окремої уваги.</w:t>
      </w:r>
    </w:p>
    <w:p w:rsidR="00450123" w:rsidRPr="00F141EB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Фенюк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Ю.С., заступника директора з ВР, </w:t>
      </w:r>
      <w:r w:rsidRPr="00F141EB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ередумови та шляхи створення  Кодексу безпечного освітнього середовища  (КБОС) навчального закладу. Серед усіх прав, якими наділені учасники освітнього процесу (учні, їхні батьки, педагоги) саме право на життя і здоров’я є найголовнішим і найціннішим, а його забезпечення має бути   пріоритетним у роботі закладу освіти.  Основним завданням сучасної школи є створення безпечного освітнього середовища, а також забезпечення прав, свобод та інтересів дітей. Це є одним із головних  завдань сучасної школи, що підтверджується й поширюється Міністерством освіти і науки України та Міжнародною організацією ЮНІСЕФ.</w:t>
      </w:r>
    </w:p>
    <w:p w:rsidR="00450123" w:rsidRPr="00F141EB" w:rsidRDefault="00450123" w:rsidP="004501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Важливою умовою ефективності роботи навчального закладу у цьому напрямку є  робота психологічної    служби  з розставлення пріоритетів та цілей, викладених комітетом ООН: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взаєморозуміння;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взаємоповага;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дружня атмосфера;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 прав людини;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толерантність;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постійний розвиток;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активна життєва позиція;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здоровий спосіб життя; людяність;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порядність;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повага до приватного життя;</w:t>
      </w:r>
    </w:p>
    <w:p w:rsidR="00450123" w:rsidRPr="00F141EB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мир;</w:t>
      </w:r>
    </w:p>
    <w:p w:rsidR="00450123" w:rsidRDefault="00450123" w:rsidP="00450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єдина країна.</w:t>
      </w:r>
    </w:p>
    <w:p w:rsidR="00450123" w:rsidRPr="000B7E86" w:rsidRDefault="00450123" w:rsidP="00450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F91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 ВИСТУПИЛИ: 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F3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Голик</w:t>
      </w:r>
      <w:proofErr w:type="spellEnd"/>
      <w:r w:rsidRPr="009F3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А.І., вчитель інформатики,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б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езпечне середовище та формування поведінки дітей в </w:t>
      </w:r>
      <w:proofErr w:type="spellStart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3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Богуцька Н.В., практичний психолог,</w:t>
      </w:r>
      <w:r w:rsidRPr="009F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важливість профілактики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однієї із поширених форм насильства у дитячому середовищі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метою   збереження і зміцнення емоційного здоров’я учасників освітнього процесу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F3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Гогуш</w:t>
      </w:r>
      <w:proofErr w:type="spellEnd"/>
      <w:r w:rsidRPr="009F3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З.Г., класний керівник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9F3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класу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</w:t>
      </w:r>
      <w:r w:rsidRPr="009F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оль класного керівника  у формуванні безпечного освітнього  середовища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50123" w:rsidRPr="00F141EB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С.В., директор</w:t>
      </w:r>
      <w:r w:rsidRPr="009F3F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сказала, що</w:t>
      </w:r>
      <w:r w:rsidRPr="009F3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Концепція «Нова українська школа» (НУШ) вимагає реформування існуючого алгоритму розвивальної, </w:t>
      </w:r>
      <w:proofErr w:type="spellStart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корекційної</w:t>
      </w:r>
      <w:proofErr w:type="spellEnd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профілактичної роботи, так як в освітніх закладах  дуже часто постає проблема </w:t>
      </w:r>
      <w:proofErr w:type="spellStart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порушення норм поведінки учнями, що не дозволяє в повному обсязі досягти поставлених демократичних орієнтирів.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суспільство бажає бачити школу не лише одним з освітніх ресурсів, а, скоріше, простором розвитку та співпраці як всередині, так і по відношенню до зовнішнього світу.   </w:t>
      </w:r>
    </w:p>
    <w:p w:rsidR="00450123" w:rsidRPr="00F141EB" w:rsidRDefault="00450123" w:rsidP="004501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F91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УХВАЛИЛИ:</w:t>
      </w:r>
    </w:p>
    <w:p w:rsidR="00450123" w:rsidRPr="00F141EB" w:rsidRDefault="00450123" w:rsidP="00450123">
      <w:pPr>
        <w:numPr>
          <w:ilvl w:val="0"/>
          <w:numId w:val="2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 додержання конституційних прав та свобод дитини, гарантій з охорони дитинства, реалізації прав дітей на освіту, безпечне для життя і здоров’я освітнє середовище, збереження та зміцнення здоров’я підростаючого покоління  згідно  положень </w:t>
      </w:r>
      <w:hyperlink r:id="rId6" w:tgtFrame="_blank" w:history="1">
        <w:r w:rsidRPr="00F141E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uk-UA"/>
          </w:rPr>
          <w:t>Національної стратегії розбудови безпечного і здорового освітнього середовища у новій українській школі</w:t>
        </w:r>
      </w:hyperlink>
      <w:r w:rsidRPr="00F141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  </w:t>
      </w:r>
      <w:r w:rsidRPr="00F141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(</w:t>
      </w:r>
      <w:r w:rsidRPr="00F141E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схваленої</w:t>
      </w:r>
      <w:r w:rsidRPr="00F141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Указом Президента України від 25 травня 2020 року №195/2020).   </w:t>
      </w:r>
    </w:p>
    <w:p w:rsidR="00450123" w:rsidRPr="00F141EB" w:rsidRDefault="00450123" w:rsidP="00450123">
      <w:pPr>
        <w:numPr>
          <w:ilvl w:val="0"/>
          <w:numId w:val="2"/>
        </w:numPr>
        <w:shd w:val="clear" w:color="auto" w:fill="FFFFFF"/>
        <w:tabs>
          <w:tab w:val="clear" w:pos="786"/>
          <w:tab w:val="num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Продовжити роботу з попередження </w:t>
      </w:r>
      <w:proofErr w:type="spellStart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насилля, 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</w:r>
      <w:proofErr w:type="spellStart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тренінгових</w:t>
      </w:r>
      <w:proofErr w:type="spellEnd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занять, зустрічей з працівниками ювенальної поліції.</w:t>
      </w:r>
    </w:p>
    <w:p w:rsidR="00450123" w:rsidRPr="00F141EB" w:rsidRDefault="00450123" w:rsidP="00450123">
      <w:pPr>
        <w:numPr>
          <w:ilvl w:val="0"/>
          <w:numId w:val="2"/>
        </w:numPr>
        <w:shd w:val="clear" w:color="auto" w:fill="FFFFFF"/>
        <w:tabs>
          <w:tab w:val="clear" w:pos="786"/>
          <w:tab w:val="num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Виявляти чинники, які перешкоджають безпеці учасників освітнього процесу,  небезпечні ситуації під час освітнього процесу у закладі та належно реагувати на них, запроваджуючи чіткі процедури втручання.</w:t>
      </w:r>
    </w:p>
    <w:p w:rsidR="00450123" w:rsidRPr="00F141EB" w:rsidRDefault="00450123" w:rsidP="00450123">
      <w:pPr>
        <w:numPr>
          <w:ilvl w:val="0"/>
          <w:numId w:val="2"/>
        </w:numPr>
        <w:shd w:val="clear" w:color="auto" w:fill="FFFFFF"/>
        <w:tabs>
          <w:tab w:val="clear" w:pos="786"/>
          <w:tab w:val="num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Проводити, згідно з планом, цикли виховних заходів, позакласних занять тощо із питань безпеки учнів в освітньому середовищі.</w:t>
      </w:r>
    </w:p>
    <w:p w:rsidR="00450123" w:rsidRPr="00F141EB" w:rsidRDefault="00450123" w:rsidP="00450123">
      <w:pPr>
        <w:numPr>
          <w:ilvl w:val="0"/>
          <w:numId w:val="2"/>
        </w:numPr>
        <w:shd w:val="clear" w:color="auto" w:fill="FFFFFF"/>
        <w:tabs>
          <w:tab w:val="clear" w:pos="786"/>
          <w:tab w:val="num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Відпрацювати систему узгоджених поглядів і уявлень учнів, педагогів, батьків на освітнє середовище, обґрунтувати умови організації безпечного освітнього середовища та вимоги (критерії) до його ефективної організації для кожного учасника освітнього процесу.</w:t>
      </w:r>
    </w:p>
    <w:p w:rsidR="00450123" w:rsidRDefault="00450123" w:rsidP="00450123">
      <w:pPr>
        <w:numPr>
          <w:ilvl w:val="0"/>
          <w:numId w:val="2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Запровадити реалізацію </w:t>
      </w:r>
      <w:proofErr w:type="spellStart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антибулінгової</w:t>
      </w:r>
      <w:proofErr w:type="spellEnd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політики, яка містить принципи захисту дітей від насильства, через реалізацію  таких питань, як: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порядок повідомлення та втручання, де поетапно зазначено, що слід робити, коли дитина стала жертвою насильства або ї безпеці загрожують незнайомі люди, члени родини чи працівники закладу; 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правила захисту особистих даних, які визначають методи збереження та поширення інформації про дітей у </w:t>
      </w:r>
      <w:proofErr w:type="spellStart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соцмережах</w:t>
      </w:r>
      <w:proofErr w:type="spellEnd"/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правила захисту зображень дітей, які визначають, як можна знімати дітей на фото або відео та поширювати їх зображення;</w:t>
      </w:r>
    </w:p>
    <w:p w:rsidR="00450123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правила доступу дітей до мережі Інтернет і їх захисту від шкідливих матеріалів, розміщених у ній, включно з призначенням особи або 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осіб, відповідальних за нагляд за безпечним використанням комп’ютерної мережі.</w:t>
      </w:r>
    </w:p>
    <w:p w:rsidR="00450123" w:rsidRPr="00F141EB" w:rsidRDefault="00450123" w:rsidP="0045012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ринципи безпечних відносин між працівниками школи та дітьми, включно з повним описом поведінки, яка є неприйнятною при спілкуванні з дітьми.</w:t>
      </w:r>
    </w:p>
    <w:p w:rsidR="00450123" w:rsidRDefault="00450123" w:rsidP="00450123">
      <w:pPr>
        <w:numPr>
          <w:ilvl w:val="0"/>
          <w:numId w:val="2"/>
        </w:numPr>
        <w:shd w:val="clear" w:color="auto" w:fill="FFFFFF"/>
        <w:tabs>
          <w:tab w:val="clear" w:pos="786"/>
          <w:tab w:val="num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П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оложення Кодексу безпечного освітнього середовища (КБОС) та визначити завдання,   які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ють засади КОДЕКСУ. </w:t>
      </w:r>
    </w:p>
    <w:p w:rsidR="00450123" w:rsidRDefault="00450123" w:rsidP="004501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Ю.С., Богуцька Н.В.     до 01.01.24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141E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450123" w:rsidRDefault="00450123" w:rsidP="004501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0123" w:rsidRDefault="00450123" w:rsidP="004501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0123" w:rsidRPr="00450123" w:rsidRDefault="00450123" w:rsidP="0045012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877F20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Директор: </w:t>
      </w:r>
      <w:r w:rsidRPr="00877F2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Світлана ГОЛИК</w:t>
      </w:r>
    </w:p>
    <w:p w:rsidR="00450123" w:rsidRPr="00877F20" w:rsidRDefault="00450123" w:rsidP="00450123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77F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Секретар:</w:t>
      </w:r>
      <w:r w:rsidRPr="00877F2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77F2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Тетяна ГОЛИК</w:t>
      </w:r>
    </w:p>
    <w:p w:rsidR="00450123" w:rsidRDefault="00450123" w:rsidP="004501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0123" w:rsidRPr="00877F20" w:rsidRDefault="00450123" w:rsidP="00450123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F2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50123" w:rsidRPr="00877F20" w:rsidRDefault="00450123" w:rsidP="00450123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F20">
        <w:rPr>
          <w:rFonts w:ascii="Times New Roman" w:eastAsia="Calibri" w:hAnsi="Times New Roman" w:cs="Times New Roman"/>
          <w:b/>
          <w:sz w:val="28"/>
          <w:szCs w:val="28"/>
        </w:rPr>
        <w:t>присутніх на нараді при директору:</w:t>
      </w:r>
    </w:p>
    <w:p w:rsidR="00450123" w:rsidRDefault="00450123" w:rsidP="00450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0123" w:rsidRDefault="00450123" w:rsidP="004501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С.В.                                            16. Куліш Г.В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Палій І.В.                                              17.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Маліщук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Ю.С.                                         18.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Смук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Гогуш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З.Г.                                             19.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Стецун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           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F20">
        <w:rPr>
          <w:rFonts w:ascii="Times New Roman" w:eastAsia="Calibri" w:hAnsi="Times New Roman" w:cs="Times New Roman"/>
          <w:sz w:val="28"/>
          <w:szCs w:val="28"/>
        </w:rPr>
        <w:t>Богуцька Н.В.                                       20. Ткачук М.М.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F20">
        <w:rPr>
          <w:rFonts w:ascii="Times New Roman" w:eastAsia="Calibri" w:hAnsi="Times New Roman" w:cs="Times New Roman"/>
          <w:sz w:val="28"/>
          <w:szCs w:val="28"/>
        </w:rPr>
        <w:t>Богуцька Д.А.                                       21. Гудима Г.М.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Лазарюк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Г.І.                                          22. Гудима Ю.В.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Т.І.                                              23.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Гайдамашко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Рапата Л.М.                                           24.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Скігар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25.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І.В.                                         26.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Прихач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І.Ю.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Шрамко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А.І.                                           27.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Єлиндюк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Руснак М.П.                                           28. </w:t>
      </w: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Кривохижа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Т.О.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29. Рапатий В.В.</w:t>
      </w:r>
    </w:p>
    <w:p w:rsidR="00450123" w:rsidRPr="00877F20" w:rsidRDefault="00450123" w:rsidP="0045012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7F20">
        <w:rPr>
          <w:rFonts w:ascii="Times New Roman" w:eastAsia="Calibri" w:hAnsi="Times New Roman" w:cs="Times New Roman"/>
          <w:sz w:val="28"/>
          <w:szCs w:val="28"/>
        </w:rPr>
        <w:t>Ковалюк</w:t>
      </w:r>
      <w:proofErr w:type="spellEnd"/>
      <w:r w:rsidRPr="00877F20">
        <w:rPr>
          <w:rFonts w:ascii="Times New Roman" w:eastAsia="Calibri" w:hAnsi="Times New Roman" w:cs="Times New Roman"/>
          <w:sz w:val="28"/>
          <w:szCs w:val="28"/>
        </w:rPr>
        <w:t xml:space="preserve"> Ю.Ю.</w:t>
      </w:r>
    </w:p>
    <w:p w:rsidR="00450123" w:rsidRDefault="00450123" w:rsidP="004501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450123" w:rsidRDefault="00450123" w:rsidP="004501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450123" w:rsidRDefault="00450123" w:rsidP="004501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450123" w:rsidRDefault="00450123" w:rsidP="004501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450123" w:rsidRDefault="00450123" w:rsidP="004501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450123" w:rsidRDefault="00450123" w:rsidP="0045012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C42E74" w:rsidRDefault="00C42E74"/>
    <w:sectPr w:rsidR="00C4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340"/>
    <w:multiLevelType w:val="multilevel"/>
    <w:tmpl w:val="642666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93131"/>
    <w:multiLevelType w:val="multilevel"/>
    <w:tmpl w:val="ADF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9F7381"/>
    <w:multiLevelType w:val="hybridMultilevel"/>
    <w:tmpl w:val="0A0CED54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42E74"/>
    <w:rsid w:val="00450123"/>
    <w:rsid w:val="00C4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2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5012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5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12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www.president.gov.ua%2Fdocuments%2F1952020-33789&amp;sa=D&amp;sntz=1&amp;usg=AOvVaw3ghpK73g6yB9P9pcrAFT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2294</Words>
  <Characters>13079</Characters>
  <Application>Microsoft Office Word</Application>
  <DocSecurity>0</DocSecurity>
  <Lines>108</Lines>
  <Paragraphs>30</Paragraphs>
  <ScaleCrop>false</ScaleCrop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2</cp:revision>
  <dcterms:created xsi:type="dcterms:W3CDTF">2025-03-06T09:18:00Z</dcterms:created>
  <dcterms:modified xsi:type="dcterms:W3CDTF">2025-03-06T09:20:00Z</dcterms:modified>
</cp:coreProperties>
</file>