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A6" w:rsidRPr="00D164C2" w:rsidRDefault="000725A6" w:rsidP="000725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 10</w:t>
      </w:r>
    </w:p>
    <w:p w:rsidR="000725A6" w:rsidRPr="00D164C2" w:rsidRDefault="000725A6" w:rsidP="000725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наради при директорові</w:t>
      </w:r>
    </w:p>
    <w:p w:rsidR="000725A6" w:rsidRPr="00E96C7A" w:rsidRDefault="000725A6" w:rsidP="000725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C7A">
        <w:rPr>
          <w:rFonts w:ascii="Times New Roman" w:eastAsia="Calibri" w:hAnsi="Times New Roman" w:cs="Times New Roman"/>
          <w:b/>
          <w:sz w:val="28"/>
          <w:szCs w:val="28"/>
        </w:rPr>
        <w:t>30.05.2024 року</w:t>
      </w:r>
    </w:p>
    <w:p w:rsidR="000725A6" w:rsidRPr="00D164C2" w:rsidRDefault="000725A6" w:rsidP="00072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Голова: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Світлана ГОЛИК</w:t>
      </w:r>
    </w:p>
    <w:p w:rsidR="000725A6" w:rsidRPr="00D164C2" w:rsidRDefault="000725A6" w:rsidP="00072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Секретар: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Тетя</w:t>
      </w:r>
      <w:r w:rsidRPr="00D164C2">
        <w:rPr>
          <w:rFonts w:ascii="Times New Roman" w:eastAsia="Calibri" w:hAnsi="Times New Roman" w:cs="Times New Roman"/>
          <w:sz w:val="28"/>
          <w:szCs w:val="28"/>
        </w:rPr>
        <w:t>на ГОЛИК</w:t>
      </w:r>
    </w:p>
    <w:p w:rsidR="000725A6" w:rsidRPr="00A6454C" w:rsidRDefault="000725A6" w:rsidP="000725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Присутні: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29 осіб </w:t>
      </w:r>
      <w:r>
        <w:rPr>
          <w:rFonts w:ascii="Times New Roman" w:eastAsia="Calibri" w:hAnsi="Times New Roman" w:cs="Times New Roman"/>
          <w:sz w:val="28"/>
          <w:szCs w:val="28"/>
        </w:rPr>
        <w:t>(список додається до протоколу)</w:t>
      </w:r>
    </w:p>
    <w:p w:rsidR="000725A6" w:rsidRDefault="000725A6" w:rsidP="000725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0725A6" w:rsidRPr="00B820C0" w:rsidRDefault="000725A6" w:rsidP="000725A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20C0">
        <w:rPr>
          <w:rFonts w:ascii="Times New Roman" w:eastAsia="Calibri" w:hAnsi="Times New Roman" w:cs="Times New Roman"/>
          <w:b/>
          <w:sz w:val="28"/>
          <w:szCs w:val="28"/>
        </w:rPr>
        <w:t>Порядок денний:</w:t>
      </w:r>
    </w:p>
    <w:p w:rsidR="000725A6" w:rsidRPr="0060691F" w:rsidRDefault="000725A6" w:rsidP="000725A6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111111"/>
          <w:sz w:val="28"/>
          <w:szCs w:val="28"/>
          <w:u w:val="single"/>
          <w:lang w:eastAsia="uk-UA"/>
        </w:rPr>
      </w:pPr>
      <w:r w:rsidRPr="0060691F">
        <w:rPr>
          <w:rFonts w:ascii="Times New Roman" w:eastAsia="Calibri" w:hAnsi="Times New Roman" w:cs="Times New Roman"/>
          <w:i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0691F">
        <w:rPr>
          <w:rFonts w:ascii="Times New Roman" w:eastAsia="Calibri" w:hAnsi="Times New Roman" w:cs="Times New Roman"/>
          <w:sz w:val="28"/>
          <w:szCs w:val="28"/>
        </w:rPr>
        <w:t>Виконання навчальних програм, графіків контрольних робіт, лабораторних робіт.</w:t>
      </w:r>
      <w:r w:rsidRPr="0060691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заступник директора з НВР  Палій І.В.)</w:t>
      </w:r>
    </w:p>
    <w:p w:rsidR="000725A6" w:rsidRPr="00276CAA" w:rsidRDefault="000725A6" w:rsidP="000725A6">
      <w:pPr>
        <w:shd w:val="clear" w:color="auto" w:fill="FFFFFF"/>
        <w:spacing w:after="0" w:line="240" w:lineRule="auto"/>
        <w:ind w:left="360" w:hanging="218"/>
        <w:jc w:val="both"/>
        <w:rPr>
          <w:rFonts w:ascii="Tahoma" w:eastAsia="Times New Roman" w:hAnsi="Tahoma" w:cs="Tahoma"/>
          <w:color w:val="111111"/>
          <w:sz w:val="28"/>
          <w:szCs w:val="28"/>
          <w:u w:val="single"/>
          <w:lang w:eastAsia="uk-UA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60691F">
        <w:rPr>
          <w:rFonts w:ascii="Times New Roman" w:eastAsia="Calibri" w:hAnsi="Times New Roman" w:cs="Times New Roman"/>
          <w:i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Робота з попередження дитячого травматизму, профілактика правопорушень, злочинності, наркоманії.</w:t>
      </w:r>
      <w:r w:rsidRPr="006069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691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заст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упник директора з ВР 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Фенюк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Ю.С</w:t>
      </w:r>
      <w:r w:rsidRPr="0060691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.)</w:t>
      </w:r>
    </w:p>
    <w:p w:rsidR="000725A6" w:rsidRPr="00276CAA" w:rsidRDefault="000725A6" w:rsidP="000725A6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11111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3.  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Підсумки виконання річного плану роботи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FC4FC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proofErr w:type="spellStart"/>
      <w:r w:rsidRPr="00FC4FC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FC4FC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0725A6" w:rsidRPr="00276CAA" w:rsidRDefault="000725A6" w:rsidP="000725A6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11111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4. 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Виконання посадо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вих обов’язків працівників закладу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76CA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</w:t>
      </w:r>
      <w:r w:rsidRPr="00FC4FC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proofErr w:type="spellStart"/>
      <w:r w:rsidRPr="00FC4FC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FC4FC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0725A6" w:rsidRPr="00B820C0" w:rsidRDefault="000725A6" w:rsidP="000725A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25A6" w:rsidRPr="00B820C0" w:rsidRDefault="000725A6" w:rsidP="000725A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</w:p>
    <w:p w:rsidR="000725A6" w:rsidRPr="00B820C0" w:rsidRDefault="000725A6" w:rsidP="000725A6">
      <w:pPr>
        <w:numPr>
          <w:ilvl w:val="0"/>
          <w:numId w:val="3"/>
        </w:numPr>
        <w:spacing w:after="0" w:line="240" w:lineRule="auto"/>
        <w:ind w:right="40" w:hanging="2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820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СЛУХАЛИ: </w:t>
      </w:r>
    </w:p>
    <w:p w:rsidR="000725A6" w:rsidRPr="00B820C0" w:rsidRDefault="000725A6" w:rsidP="000725A6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6C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Палій І.В., заступника директора школи з навчально-виховної роботи,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виконання навчальних програм, графіків контрольних робіт, лабораторних робіт.</w:t>
      </w:r>
    </w:p>
    <w:p w:rsidR="000725A6" w:rsidRPr="00B820C0" w:rsidRDefault="000725A6" w:rsidP="000725A6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Викладання предметів інваріантної та варіативної складових робочих навчальних планів здійснювалося відповідно до державних навчальних програм, рекомендованих Міністерством освіти і науки України.</w:t>
      </w:r>
    </w:p>
    <w:p w:rsidR="000725A6" w:rsidRPr="00B820C0" w:rsidRDefault="000725A6" w:rsidP="000725A6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Наші вчителі здійснюють своєчасний контроль за рівнем </w:t>
      </w:r>
      <w:proofErr w:type="spellStart"/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шляхом усного опитування, тестування, проведення контрольних, самостійних, практичних та лабораторних робіт, тематичного оцінювання, систематичної перевірки ведення зошитів, проведення аналізу контрольних робіт. Під час відвідування уроків я обов'язково звертала увагу на відповідність теми уроку календарному плану вчителя, на планування вчителем матеріалу і його відображення на уроці.</w:t>
      </w:r>
    </w:p>
    <w:p w:rsidR="000725A6" w:rsidRPr="00B820C0" w:rsidRDefault="000725A6" w:rsidP="000725A6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Навчальні плани та програми за І та II семестр 2023/2024 навчального року виконані за рах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унок очного навчання.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725A6" w:rsidRPr="00B820C0" w:rsidRDefault="000725A6" w:rsidP="000725A6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Графік проведення контрольних робіт дотримано, про що свідчать записи на сторінках класних журналів. Практична частина всіх навчальних програм виконана повністю.</w:t>
      </w:r>
    </w:p>
    <w:p w:rsidR="000725A6" w:rsidRPr="00B820C0" w:rsidRDefault="000725A6" w:rsidP="000725A6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Вивчення стану планування роботи щодо виконання навчальних планів і програм показало, що у наявності всі календарні плани вчителів, але не всі оформлені відповідно до нормативних вимог:</w:t>
      </w:r>
    </w:p>
    <w:p w:rsidR="000725A6" w:rsidRPr="00B820C0" w:rsidRDefault="000725A6" w:rsidP="000725A6">
      <w:pPr>
        <w:numPr>
          <w:ilvl w:val="0"/>
          <w:numId w:val="2"/>
        </w:numPr>
        <w:tabs>
          <w:tab w:val="left" w:pos="332"/>
        </w:tabs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плани-графіки проведення контрольних робіт, тематичних атестацій, практичних, лабораторних робіт, відповідають їх календарному плануванню;</w:t>
      </w:r>
    </w:p>
    <w:p w:rsidR="000725A6" w:rsidRPr="00B820C0" w:rsidRDefault="000725A6" w:rsidP="000725A6">
      <w:pPr>
        <w:numPr>
          <w:ilvl w:val="0"/>
          <w:numId w:val="2"/>
        </w:numPr>
        <w:tabs>
          <w:tab w:val="left" w:pos="246"/>
        </w:tabs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навчальні плани і програми в усіх класах виконано в повному обсязі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725A6" w:rsidRPr="00B820C0" w:rsidRDefault="000725A6" w:rsidP="000725A6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обов'язкового мінімуму контрольних, лабораторних, практичних робіт, кількість уроків зв'язного мовлення, уроків позакласного читання, усних та письмових переказів, усних та письмових творів, диктантів, мовних тем в основному відповідає навчальним програмам.</w:t>
      </w:r>
    </w:p>
    <w:p w:rsidR="000725A6" w:rsidRPr="00B820C0" w:rsidRDefault="000725A6" w:rsidP="000725A6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 вчителів, що хворіли, заміняли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основному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вчителі відповідної спеціалізації.</w:t>
      </w:r>
    </w:p>
    <w:p w:rsidR="000725A6" w:rsidRPr="00B820C0" w:rsidRDefault="000725A6" w:rsidP="000725A6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зошитів для контрольних робіт з фізики, математики, хімії, української мови та практичних робіт з фізики показала про відповідний контроль за їх веденням, кількістю та зовнішнім виглядом з боку дирекції закладу, зокрема заступника з навчально-виховної роботи .</w:t>
      </w:r>
    </w:p>
    <w:p w:rsidR="000725A6" w:rsidRPr="00B820C0" w:rsidRDefault="000725A6" w:rsidP="000725A6">
      <w:pPr>
        <w:spacing w:after="0" w:line="240" w:lineRule="auto"/>
        <w:ind w:right="4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1. </w:t>
      </w:r>
      <w:r w:rsidRPr="00B820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ВИСТУПИЛИ:</w:t>
      </w:r>
    </w:p>
    <w:p w:rsidR="000725A6" w:rsidRPr="00B820C0" w:rsidRDefault="000725A6" w:rsidP="000725A6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6C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А.І. вчитель фізики та інформатики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відзначив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лабораторне або практичне заняття — форма навчального заняття, при якому учень під керівництвом вчителя, особисто проводить натурні або імітаційні експерименти, чи досліди з метою практичного підтвердження окремих теоретичних положень даної навчальної дисципліни; набуває практичних навичок роботи з лабораторним устаткуванням, обладнанням, обчислювальною технікою, вимірювальною апаратурою, методикою експериментальних досліджень у конкретній предметній галузі.</w:t>
      </w:r>
    </w:p>
    <w:p w:rsidR="000725A6" w:rsidRPr="00B820C0" w:rsidRDefault="000725A6" w:rsidP="000725A6">
      <w:p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1.  </w:t>
      </w:r>
      <w:r w:rsidRPr="00B820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УХВАЛИЛИ:</w:t>
      </w:r>
    </w:p>
    <w:p w:rsidR="000725A6" w:rsidRPr="00B820C0" w:rsidRDefault="000725A6" w:rsidP="000725A6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1. Вважати виконаними, в цілому, навчальні плани і навчальні програми за 2023/2024 навчальний рік.</w:t>
      </w:r>
    </w:p>
    <w:p w:rsidR="000725A6" w:rsidRPr="00B820C0" w:rsidRDefault="000725A6" w:rsidP="000725A6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20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нараді при директору ще раз ознайомити учителів з критеріями виставлення тематичного оцінювання (об'єктивність); зобов'язати вчителів своєчасно виставляти оцінки за різні види робіт на предметних сторінках класних журналів.</w:t>
      </w:r>
    </w:p>
    <w:p w:rsidR="000725A6" w:rsidRPr="00B820C0" w:rsidRDefault="000725A6" w:rsidP="000725A6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20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Посилити контроль за складанням та виконанням календарно-тематичних планів, дотриманням вимог до змісту навчальних програм і виконанню практичного мінімуму.</w:t>
      </w:r>
    </w:p>
    <w:p w:rsidR="000725A6" w:rsidRDefault="000725A6" w:rsidP="000725A6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0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3дійснювати ретельний контроль за виконанням практичної частини навчальних програм з базових дисциплін.</w:t>
      </w:r>
    </w:p>
    <w:p w:rsidR="000725A6" w:rsidRPr="00B820C0" w:rsidRDefault="000725A6" w:rsidP="000725A6">
      <w:pPr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725A6" w:rsidRPr="00B820C0" w:rsidRDefault="000725A6" w:rsidP="000725A6">
      <w:pPr>
        <w:spacing w:after="0" w:line="240" w:lineRule="auto"/>
        <w:ind w:right="40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B820C0">
        <w:rPr>
          <w:rFonts w:ascii="Times New Roman" w:eastAsia="Calibri" w:hAnsi="Times New Roman" w:cs="Times New Roman"/>
          <w:b/>
          <w:sz w:val="28"/>
          <w:szCs w:val="28"/>
        </w:rPr>
        <w:t>СЛУХАЛИ:</w:t>
      </w:r>
    </w:p>
    <w:p w:rsidR="000725A6" w:rsidRPr="00B820C0" w:rsidRDefault="000725A6" w:rsidP="000725A6">
      <w:pPr>
        <w:spacing w:after="0" w:line="240" w:lineRule="auto"/>
        <w:ind w:right="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1B05A1">
        <w:rPr>
          <w:rFonts w:ascii="Times New Roman" w:eastAsia="Calibri" w:hAnsi="Times New Roman" w:cs="Times New Roman"/>
          <w:b/>
          <w:sz w:val="28"/>
          <w:szCs w:val="28"/>
        </w:rPr>
        <w:t>Фенюк</w:t>
      </w:r>
      <w:proofErr w:type="spellEnd"/>
      <w:r w:rsidRPr="001B05A1">
        <w:rPr>
          <w:rFonts w:ascii="Times New Roman" w:eastAsia="Calibri" w:hAnsi="Times New Roman" w:cs="Times New Roman"/>
          <w:b/>
          <w:sz w:val="28"/>
          <w:szCs w:val="28"/>
        </w:rPr>
        <w:t xml:space="preserve"> Ю.С., заступника директора з виховної роботи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B820C0">
        <w:rPr>
          <w:rFonts w:ascii="Times New Roman" w:eastAsia="Calibri" w:hAnsi="Times New Roman" w:cs="Times New Roman"/>
          <w:sz w:val="28"/>
          <w:szCs w:val="28"/>
        </w:rPr>
        <w:t xml:space="preserve"> про роботу з попередження дитячого травматизму, профілактику правопорушень, злочинності, наркоманії. </w:t>
      </w:r>
    </w:p>
    <w:p w:rsidR="000725A6" w:rsidRPr="00B820C0" w:rsidRDefault="000725A6" w:rsidP="000725A6">
      <w:pPr>
        <w:spacing w:after="0" w:line="240" w:lineRule="auto"/>
        <w:ind w:right="4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0C0">
        <w:rPr>
          <w:rFonts w:ascii="Times New Roman" w:eastAsia="Calibri" w:hAnsi="Times New Roman" w:cs="Times New Roman"/>
          <w:sz w:val="28"/>
          <w:szCs w:val="28"/>
        </w:rPr>
        <w:t>Упродовж 2023/2024 навчального року здійснювались організаційні заходи з профілактики злочинності, правопорушень та бездоглядності серед учнів. Дітей, які стоять на внутрішньо шкільному обліку немає.</w:t>
      </w:r>
    </w:p>
    <w:p w:rsidR="000725A6" w:rsidRPr="00B820C0" w:rsidRDefault="000725A6" w:rsidP="000725A6">
      <w:pPr>
        <w:spacing w:after="0" w:line="240" w:lineRule="auto"/>
        <w:ind w:left="2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постійним контролем знаходилося відвідування школи учнями. Ведеться «Книга контролю за відвідуванням учнями навчального закладу», проводиться аналіз стану відвідування учнями навчальних занять. Причини пропусків занять негайно з'ясовуються, підтримується постійний зв'язок з 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батьками. З метою покращення цієї роботи проводяться виховні бесіди з учнями:</w:t>
      </w:r>
    </w:p>
    <w:p w:rsidR="000725A6" w:rsidRPr="00B820C0" w:rsidRDefault="000725A6" w:rsidP="000725A6">
      <w:pPr>
        <w:numPr>
          <w:ilvl w:val="0"/>
          <w:numId w:val="1"/>
        </w:numPr>
        <w:tabs>
          <w:tab w:val="left" w:pos="183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«Твої права, твої обов'язки»;</w:t>
      </w:r>
    </w:p>
    <w:p w:rsidR="000725A6" w:rsidRPr="00B820C0" w:rsidRDefault="000725A6" w:rsidP="000725A6">
      <w:pPr>
        <w:numPr>
          <w:ilvl w:val="0"/>
          <w:numId w:val="1"/>
        </w:numPr>
        <w:tabs>
          <w:tab w:val="left" w:pos="183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Єдиний урок з безпеки дорожнього руху;</w:t>
      </w:r>
    </w:p>
    <w:p w:rsidR="000725A6" w:rsidRPr="00B820C0" w:rsidRDefault="000725A6" w:rsidP="000725A6">
      <w:pPr>
        <w:numPr>
          <w:ilvl w:val="0"/>
          <w:numId w:val="1"/>
        </w:numPr>
        <w:tabs>
          <w:tab w:val="left" w:pos="188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«Відповідальність за злочин», «Що я знаю про закони», «Відповідальність моїх батьків за мої вчинки» та ін.;</w:t>
      </w:r>
    </w:p>
    <w:p w:rsidR="000725A6" w:rsidRPr="00B820C0" w:rsidRDefault="000725A6" w:rsidP="000725A6">
      <w:pPr>
        <w:numPr>
          <w:ilvl w:val="0"/>
          <w:numId w:val="1"/>
        </w:numPr>
        <w:tabs>
          <w:tab w:val="left" w:pos="183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«Я обираю щасливе майбутнє», «Вчинки добрі і погані», «Я і закон» та ін. Також проводяться виховні заходи на тему профілактики правопорушень та попередження злочинності серед учнів.</w:t>
      </w:r>
    </w:p>
    <w:p w:rsidR="000725A6" w:rsidRPr="00B820C0" w:rsidRDefault="000725A6" w:rsidP="000725A6">
      <w:pPr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забезпечення всебічного висвітлення проблем держави і права, приділення уваги роз'ясненню чинного законодавства в навчальному закладі питання профілактики злочинності та правопорушень, проведення </w:t>
      </w:r>
      <w:proofErr w:type="spellStart"/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правоосвітницької</w:t>
      </w:r>
      <w:proofErr w:type="spellEnd"/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роботи  розглядалися на </w:t>
      </w:r>
      <w:r w:rsidRPr="00E96C7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засіданні педагогічної ради,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засіданні методичної спільноти класних керівників, батьківських зборах. 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чином, можна визначити, що робота в навчальному закладі з профілактики попередження злочинності та правопорушень серед неповнолітніх проводиться систематично. </w:t>
      </w:r>
    </w:p>
    <w:p w:rsidR="000725A6" w:rsidRPr="00B820C0" w:rsidRDefault="000725A6" w:rsidP="000725A6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820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  ВИСТУПИЛИ:</w:t>
      </w:r>
    </w:p>
    <w:p w:rsidR="000725A6" w:rsidRPr="00B820C0" w:rsidRDefault="000725A6" w:rsidP="000725A6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Чабах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Т.О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., вчитель зарубіжної літератури. Кожен класний керівник має власний стиль роботи, всіх їх об'єднує спільна мета: шляхом використання оптимальних педагогічних форм, методів та прийомів виховання, особистим прикладом забезпечити процес набуття школярами соціального досвіду, формування особистісних рис громадян України.</w:t>
      </w:r>
    </w:p>
    <w:p w:rsidR="000725A6" w:rsidRPr="00B820C0" w:rsidRDefault="000725A6" w:rsidP="000725A6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820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  УХВАЛИЛИ:</w:t>
      </w:r>
    </w:p>
    <w:p w:rsidR="000725A6" w:rsidRPr="00B820C0" w:rsidRDefault="000725A6" w:rsidP="000725A6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1. Сприяти збереженню контингенту вихованців, які мають відхилення в поведінці шляхом:</w:t>
      </w:r>
    </w:p>
    <w:p w:rsidR="000725A6" w:rsidRPr="00B820C0" w:rsidRDefault="000725A6" w:rsidP="000725A6">
      <w:pPr>
        <w:numPr>
          <w:ilvl w:val="0"/>
          <w:numId w:val="1"/>
        </w:numPr>
        <w:tabs>
          <w:tab w:val="left" w:pos="1125"/>
        </w:tabs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глибокого вивчення інтересів та нахилів дітей;</w:t>
      </w:r>
    </w:p>
    <w:p w:rsidR="000725A6" w:rsidRPr="00B820C0" w:rsidRDefault="000725A6" w:rsidP="000725A6">
      <w:pPr>
        <w:numPr>
          <w:ilvl w:val="0"/>
          <w:numId w:val="1"/>
        </w:numPr>
        <w:tabs>
          <w:tab w:val="left" w:pos="1115"/>
        </w:tabs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установлення особистих контактів з вихованцями;</w:t>
      </w:r>
    </w:p>
    <w:p w:rsidR="000725A6" w:rsidRPr="00B820C0" w:rsidRDefault="000725A6" w:rsidP="000725A6">
      <w:pPr>
        <w:numPr>
          <w:ilvl w:val="0"/>
          <w:numId w:val="1"/>
        </w:numPr>
        <w:tabs>
          <w:tab w:val="left" w:pos="1115"/>
        </w:tabs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тісної співпраці та взаємодії з батьками;</w:t>
      </w:r>
    </w:p>
    <w:p w:rsidR="000725A6" w:rsidRPr="00B820C0" w:rsidRDefault="000725A6" w:rsidP="000725A6">
      <w:pPr>
        <w:numPr>
          <w:ilvl w:val="0"/>
          <w:numId w:val="1"/>
        </w:numPr>
        <w:tabs>
          <w:tab w:val="left" w:pos="1115"/>
        </w:tabs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використання виховного потенціалу органів самоврядування.</w:t>
      </w:r>
    </w:p>
    <w:p w:rsidR="000725A6" w:rsidRPr="00B820C0" w:rsidRDefault="000725A6" w:rsidP="000725A6">
      <w:pPr>
        <w:tabs>
          <w:tab w:val="left" w:pos="1839"/>
        </w:tabs>
        <w:spacing w:after="0" w:line="240" w:lineRule="auto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2.  Продовжити роботу із залучення дітей та підлітків до занять в гуртках за інтересами протягом навчального року.</w:t>
      </w:r>
    </w:p>
    <w:p w:rsidR="000725A6" w:rsidRPr="00B820C0" w:rsidRDefault="000725A6" w:rsidP="000725A6">
      <w:pPr>
        <w:tabs>
          <w:tab w:val="left" w:pos="1729"/>
        </w:tabs>
        <w:spacing w:after="0" w:line="240" w:lineRule="auto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Керівнику методичної спільноти класних керівників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Гайдамашко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І.М. разом із практичним психологом  Богуцькою Н.В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провести  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практичний семінар щодо сучасних форм та методів вивчення особистості неповнолітніх, які потребують особливої уваги.</w:t>
      </w:r>
    </w:p>
    <w:p w:rsidR="000725A6" w:rsidRDefault="000725A6" w:rsidP="000725A6">
      <w:pPr>
        <w:tabs>
          <w:tab w:val="left" w:pos="1590"/>
        </w:tabs>
        <w:spacing w:after="0" w:line="240" w:lineRule="auto"/>
        <w:ind w:firstLine="8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4. П</w:t>
      </w:r>
      <w:r w:rsidRPr="00B820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осилити персональну відповідальність членів </w:t>
      </w:r>
      <w:proofErr w:type="spellStart"/>
      <w:r w:rsidRPr="00B820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педколективу</w:t>
      </w:r>
      <w:proofErr w:type="spellEnd"/>
      <w:r w:rsidRPr="00B820C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рівень сформованості правової культури вихованців.</w:t>
      </w:r>
    </w:p>
    <w:p w:rsidR="000725A6" w:rsidRPr="00B820C0" w:rsidRDefault="000725A6" w:rsidP="000725A6">
      <w:pPr>
        <w:tabs>
          <w:tab w:val="left" w:pos="1590"/>
        </w:tabs>
        <w:spacing w:after="0" w:line="240" w:lineRule="auto"/>
        <w:ind w:firstLine="8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0725A6" w:rsidRPr="00B820C0" w:rsidRDefault="000725A6" w:rsidP="000725A6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820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3. СЛУХАЛИ: </w:t>
      </w:r>
    </w:p>
    <w:p w:rsidR="000725A6" w:rsidRPr="00B820C0" w:rsidRDefault="000725A6" w:rsidP="000725A6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641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Голик</w:t>
      </w:r>
      <w:proofErr w:type="spellEnd"/>
      <w:r w:rsidRPr="006641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С.В. директора закладу,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підсумки виконання річно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 плану роботи, яка  зауважила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основному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всі його пункт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станом на 30.05.2024р. викона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ні. </w:t>
      </w:r>
    </w:p>
    <w:p w:rsidR="000725A6" w:rsidRPr="00B820C0" w:rsidRDefault="000725A6" w:rsidP="000725A6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820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 УХВАЛИЛИ:</w:t>
      </w:r>
    </w:p>
    <w:p w:rsidR="000725A6" w:rsidRPr="00B820C0" w:rsidRDefault="000725A6" w:rsidP="000725A6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1. Річний план роботи вважати виконаним.</w:t>
      </w:r>
    </w:p>
    <w:p w:rsidR="000725A6" w:rsidRPr="00B820C0" w:rsidRDefault="000725A6" w:rsidP="000725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25A6" w:rsidRPr="00B820C0" w:rsidRDefault="000725A6" w:rsidP="000725A6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820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4. СЛУХАЛИ: </w:t>
      </w:r>
    </w:p>
    <w:p w:rsidR="000725A6" w:rsidRPr="00B820C0" w:rsidRDefault="000725A6" w:rsidP="000725A6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641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Голик</w:t>
      </w:r>
      <w:proofErr w:type="spellEnd"/>
      <w:r w:rsidRPr="006641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С.В. директора закладу,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виконання посадових обов’язків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 закладу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725A6" w:rsidRPr="00B820C0" w:rsidRDefault="000725A6" w:rsidP="000725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820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4.ВИСТУПИЛИ:</w:t>
      </w:r>
    </w:p>
    <w:p w:rsidR="000725A6" w:rsidRPr="00B820C0" w:rsidRDefault="000725A6" w:rsidP="000725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641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Голик</w:t>
      </w:r>
      <w:proofErr w:type="spellEnd"/>
      <w:r w:rsidRPr="006641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С.В. директора закладу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відмітила, що в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 нав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чального року працівниками закладу</w:t>
      </w:r>
      <w:r w:rsidRPr="00B82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посадові обов’язки виконувались згідно посадових інструкцій до кожної посади сумлінно, добросовісно, відповідно рівню кваліфікації. Посадові інструкції складено для працівників усіх посад, що зазначені в штатному розписі.</w:t>
      </w:r>
    </w:p>
    <w:p w:rsidR="000725A6" w:rsidRPr="00B820C0" w:rsidRDefault="000725A6" w:rsidP="000725A6">
      <w:pPr>
        <w:spacing w:after="0" w:line="240" w:lineRule="auto"/>
        <w:ind w:left="20" w:firstLine="8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820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 УХВАЛИЛИ:</w:t>
      </w:r>
    </w:p>
    <w:p w:rsidR="000725A6" w:rsidRPr="00B820C0" w:rsidRDefault="000725A6" w:rsidP="000725A6">
      <w:pPr>
        <w:spacing w:after="0" w:line="240" w:lineRule="auto"/>
        <w:ind w:firstLine="83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Визнати виконання посадов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их обов’язків працівниками закладу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як таких, що відповідають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>змісту посадових інст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рукцій та положень Статуту закладу</w:t>
      </w:r>
      <w:r w:rsidRPr="00B820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725A6" w:rsidRDefault="000725A6" w:rsidP="000725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0725A6" w:rsidRDefault="000725A6" w:rsidP="000725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0725A6" w:rsidRDefault="000725A6" w:rsidP="000725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0725A6" w:rsidRPr="00CA222F" w:rsidRDefault="000725A6" w:rsidP="000725A6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Pr="00CA222F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Директор: </w:t>
      </w:r>
      <w:r w:rsidRPr="00CA222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Світлана ГОЛИК</w:t>
      </w:r>
    </w:p>
    <w:p w:rsidR="000725A6" w:rsidRPr="00CA222F" w:rsidRDefault="000725A6" w:rsidP="000725A6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A222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Секретар:</w:t>
      </w:r>
      <w:r w:rsidRPr="00CA222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A222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Тетяна ГОЛИК</w:t>
      </w:r>
    </w:p>
    <w:p w:rsidR="000725A6" w:rsidRPr="00CA222F" w:rsidRDefault="000725A6" w:rsidP="000725A6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5A6" w:rsidRDefault="000725A6" w:rsidP="000725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0725A6" w:rsidRDefault="000725A6" w:rsidP="000725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0725A6" w:rsidRDefault="000725A6" w:rsidP="000725A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0725A6" w:rsidRPr="006564D3" w:rsidRDefault="000725A6" w:rsidP="000725A6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Pr="006564D3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725A6" w:rsidRDefault="000725A6" w:rsidP="000725A6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6564D3">
        <w:rPr>
          <w:rFonts w:ascii="Times New Roman" w:eastAsia="Calibri" w:hAnsi="Times New Roman" w:cs="Times New Roman"/>
          <w:b/>
          <w:sz w:val="28"/>
          <w:szCs w:val="28"/>
        </w:rPr>
        <w:t xml:space="preserve">присутніх на нараді при директору:  </w:t>
      </w:r>
    </w:p>
    <w:p w:rsidR="000725A6" w:rsidRPr="006564D3" w:rsidRDefault="000725A6" w:rsidP="000725A6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5A6" w:rsidRPr="006564D3" w:rsidRDefault="000725A6" w:rsidP="000725A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С.В.                                            16. Куліш Г.В</w:t>
      </w:r>
    </w:p>
    <w:p w:rsidR="000725A6" w:rsidRPr="006564D3" w:rsidRDefault="000725A6" w:rsidP="000725A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Палій І.В.                                              17.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Маліщук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0725A6" w:rsidRPr="006564D3" w:rsidRDefault="000725A6" w:rsidP="000725A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Фенюк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Ю.С.                                         18.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Смук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В.І.</w:t>
      </w:r>
    </w:p>
    <w:p w:rsidR="000725A6" w:rsidRPr="006564D3" w:rsidRDefault="000725A6" w:rsidP="000725A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Мещерякова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Х.В.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Стецун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Н.В.                                                                                   </w:t>
      </w:r>
    </w:p>
    <w:p w:rsidR="000725A6" w:rsidRPr="006564D3" w:rsidRDefault="000725A6" w:rsidP="000725A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>Богуцька Н.В.                                       20. Ткачук М.М.</w:t>
      </w:r>
    </w:p>
    <w:p w:rsidR="000725A6" w:rsidRPr="006564D3" w:rsidRDefault="000725A6" w:rsidP="000725A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>Богуцька Д.А.                                       21. Гудима Г.М.</w:t>
      </w:r>
    </w:p>
    <w:p w:rsidR="000725A6" w:rsidRPr="006564D3" w:rsidRDefault="000725A6" w:rsidP="000725A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Лазарюк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Г.І.                                          22. Гудима Ю.В.</w:t>
      </w:r>
    </w:p>
    <w:p w:rsidR="000725A6" w:rsidRPr="006564D3" w:rsidRDefault="000725A6" w:rsidP="000725A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Т.І.                                              23.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Гайдамашко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І.М.</w:t>
      </w:r>
    </w:p>
    <w:p w:rsidR="000725A6" w:rsidRPr="006564D3" w:rsidRDefault="000725A6" w:rsidP="000725A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Рапата Л.М.                                           24.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Скігар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Т.М.</w:t>
      </w:r>
    </w:p>
    <w:p w:rsidR="000725A6" w:rsidRPr="006564D3" w:rsidRDefault="000725A6" w:rsidP="000725A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Бабинчук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О.В.                                       25.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А.І.</w:t>
      </w:r>
    </w:p>
    <w:p w:rsidR="000725A6" w:rsidRPr="006564D3" w:rsidRDefault="000725A6" w:rsidP="000725A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Ковалюк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Ю.Ю.</w:t>
      </w: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26.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Прихач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І.Ю.</w:t>
      </w:r>
    </w:p>
    <w:p w:rsidR="000725A6" w:rsidRPr="006564D3" w:rsidRDefault="000725A6" w:rsidP="000725A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Бегей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О.Д.</w:t>
      </w: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27.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Єлиндюк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В.І.</w:t>
      </w:r>
    </w:p>
    <w:p w:rsidR="000725A6" w:rsidRPr="006564D3" w:rsidRDefault="000725A6" w:rsidP="000725A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Руснак М.П.                                            </w:t>
      </w:r>
    </w:p>
    <w:p w:rsidR="000725A6" w:rsidRPr="006564D3" w:rsidRDefault="000725A6" w:rsidP="000725A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Чабах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Т.О.</w:t>
      </w:r>
    </w:p>
    <w:p w:rsidR="000725A6" w:rsidRPr="00E37D4D" w:rsidRDefault="000725A6" w:rsidP="000725A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Шрамко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А.І.</w:t>
      </w:r>
    </w:p>
    <w:p w:rsidR="00E84D47" w:rsidRDefault="00E84D47"/>
    <w:sectPr w:rsidR="00E8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2">
    <w:nsid w:val="0FF44484"/>
    <w:multiLevelType w:val="hybridMultilevel"/>
    <w:tmpl w:val="15024F40"/>
    <w:lvl w:ilvl="0" w:tplc="C926316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487402"/>
    <w:multiLevelType w:val="hybridMultilevel"/>
    <w:tmpl w:val="2DF451A6"/>
    <w:lvl w:ilvl="0" w:tplc="CDC48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84D47"/>
    <w:rsid w:val="000725A6"/>
    <w:rsid w:val="00E8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A6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Иванна Хамка</dc:creator>
  <cp:keywords/>
  <dc:description/>
  <cp:lastModifiedBy>Иванна Хамка</cp:lastModifiedBy>
  <cp:revision>2</cp:revision>
  <dcterms:created xsi:type="dcterms:W3CDTF">2025-03-06T09:36:00Z</dcterms:created>
  <dcterms:modified xsi:type="dcterms:W3CDTF">2025-03-06T09:37:00Z</dcterms:modified>
</cp:coreProperties>
</file>