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A" w:rsidRDefault="00C71E4A" w:rsidP="00C71E4A">
      <w:pPr>
        <w:jc w:val="both"/>
      </w:pPr>
      <w:r>
        <w:rPr>
          <w:rFonts w:eastAsia="Calibri"/>
          <w:b/>
          <w:bCs/>
          <w:sz w:val="32"/>
          <w:szCs w:val="32"/>
        </w:rPr>
        <w:t>Інструменти с</w:t>
      </w:r>
      <w:bookmarkStart w:id="0" w:name="_GoBack"/>
      <w:bookmarkEnd w:id="0"/>
      <w:r>
        <w:rPr>
          <w:rFonts w:eastAsia="Calibri"/>
          <w:b/>
          <w:bCs/>
          <w:sz w:val="32"/>
          <w:szCs w:val="32"/>
        </w:rPr>
        <w:t xml:space="preserve">истеми внутрішнього забезпечення якості освіти </w:t>
      </w:r>
    </w:p>
    <w:p w:rsidR="00C71E4A" w:rsidRDefault="00C71E4A" w:rsidP="00C71E4A">
      <w:pPr>
        <w:ind w:firstLine="851"/>
        <w:jc w:val="both"/>
      </w:pPr>
      <w:r>
        <w:rPr>
          <w:b/>
          <w:bCs/>
          <w:i/>
          <w:szCs w:val="28"/>
        </w:rPr>
        <w:t xml:space="preserve"> </w:t>
      </w:r>
      <w:r>
        <w:rPr>
          <w:rFonts w:eastAsia="Calibri"/>
          <w:b/>
          <w:bCs/>
          <w:i/>
          <w:szCs w:val="28"/>
        </w:rPr>
        <w:t>Загальні положення (завдання системи внутрішнього забезпечення якості освіти):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оновлення методичної бази освітньої діяльності;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моніторинг та оптимізація соціально-психологічного середовища закладу освіти;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b/>
          <w:bCs/>
          <w:i/>
          <w:szCs w:val="28"/>
        </w:rPr>
        <w:t>Принципи забезпечення якості: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визначення принципів та процедур забезпечення якості загальної середньої освіти (політика щодо забезпечення якості):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системності;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об’єктивності;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безперервності;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перспективності;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гуманістичної спрямованості;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відкритості;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оперативності.</w:t>
      </w:r>
    </w:p>
    <w:p w:rsidR="00C71E4A" w:rsidRDefault="00C71E4A" w:rsidP="00C71E4A">
      <w:pPr>
        <w:jc w:val="both"/>
      </w:pPr>
      <w:r>
        <w:rPr>
          <w:rFonts w:eastAsia="Calibri"/>
          <w:b/>
          <w:bCs/>
          <w:i/>
          <w:szCs w:val="28"/>
        </w:rPr>
        <w:t>Процедури забезпечення якості: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 xml:space="preserve">-  розроблення, затвердження, здійснення моніторингу та періодичний перегляд освітніх програм; 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забезпечення прозорої та зрозумілої політики щодо здобувачів освіти на усіх стадіях навчання – від зарахування до випуску, включаючи щорічне оцінювання здобувачів 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 xml:space="preserve">- щорічне оцінювання педагогічних, наукових і науково-педагогічних працівників, забезпечення умов для підвищення ними своєї кваліфікації, застосування чесних та прозорих процесів щодо прийняття на роботу та розвиток персоналу (кадрова політика); 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забезпечення наявності необхідних ресурсів для організації освітнього процесу;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забезпечення наявності інформаційних систем для ефективного управління освітнім процесом (інформаційний менеджмент);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створення в закладі освіти інклюзивного освітнього середовища, універсального дизайну та розумного пристосування;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забезпечення публічності інформації про освітню, адміністративну, економічну та інші види діяльності закладу;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інші процедури та заходи, що визначаються спеціальними законами або документами закладу освіти.</w:t>
      </w:r>
    </w:p>
    <w:p w:rsidR="00C71E4A" w:rsidRDefault="00C71E4A" w:rsidP="00C71E4A">
      <w:pPr>
        <w:jc w:val="both"/>
      </w:pPr>
      <w:r>
        <w:rPr>
          <w:rFonts w:eastAsia="Calibri"/>
          <w:b/>
          <w:bCs/>
          <w:i/>
          <w:szCs w:val="28"/>
        </w:rPr>
        <w:t>Об’єкти моніторингу якості загальної середньої освіти 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 зміст освіти;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</w:t>
      </w:r>
      <w:r>
        <w:rPr>
          <w:rFonts w:eastAsia="Calibri"/>
          <w:szCs w:val="28"/>
        </w:rPr>
        <w:tab/>
        <w:t xml:space="preserve">рівень сформованості </w:t>
      </w:r>
      <w:proofErr w:type="spellStart"/>
      <w:r>
        <w:rPr>
          <w:rFonts w:eastAsia="Calibri"/>
          <w:szCs w:val="28"/>
        </w:rPr>
        <w:t>компетентностей</w:t>
      </w:r>
      <w:proofErr w:type="spellEnd"/>
      <w:r>
        <w:rPr>
          <w:rFonts w:eastAsia="Calibri"/>
          <w:szCs w:val="28"/>
        </w:rPr>
        <w:t xml:space="preserve"> (навчальних досягнень учнів;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lastRenderedPageBreak/>
        <w:t>-</w:t>
      </w:r>
      <w:r>
        <w:rPr>
          <w:rFonts w:eastAsia="Calibri"/>
          <w:szCs w:val="28"/>
        </w:rPr>
        <w:tab/>
        <w:t>рівень соціалізації здобувачів освіти;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</w:t>
      </w:r>
      <w:r>
        <w:rPr>
          <w:rFonts w:eastAsia="Calibri"/>
          <w:szCs w:val="28"/>
        </w:rPr>
        <w:tab/>
        <w:t>засоби, що використовуються для досягнення освітніх цілей;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</w:t>
      </w:r>
      <w:r>
        <w:rPr>
          <w:rFonts w:eastAsia="Calibri"/>
          <w:szCs w:val="28"/>
        </w:rPr>
        <w:tab/>
        <w:t>умови здійснення педагогічного процесу та їх вплив на результати.</w:t>
      </w:r>
    </w:p>
    <w:p w:rsidR="00C71E4A" w:rsidRDefault="00C71E4A" w:rsidP="00C71E4A">
      <w:pPr>
        <w:jc w:val="both"/>
      </w:pPr>
      <w:r>
        <w:rPr>
          <w:rFonts w:eastAsia="Calibri"/>
          <w:b/>
          <w:bCs/>
          <w:i/>
          <w:szCs w:val="28"/>
        </w:rPr>
        <w:t>Оцінювання здобувачів освіти: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 оприлюднені критерії, правила і процедури оцінювання здобувачів освіти;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оприлюднені критерії, правила і процедури оцінювання педагогічної діяльності педагогічних працівників;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оприлюднені критерії, правила і процедури оцінювання управлінської діяльності керівних працівників закладу освіти.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</w:t>
      </w:r>
    </w:p>
    <w:p w:rsidR="00C71E4A" w:rsidRDefault="00C71E4A" w:rsidP="00C71E4A">
      <w:pPr>
        <w:ind w:firstLine="851"/>
        <w:jc w:val="both"/>
      </w:pPr>
      <w:r>
        <w:rPr>
          <w:szCs w:val="28"/>
        </w:rPr>
        <w:t xml:space="preserve">Орієнтовні вимоги до контролю та оцінювання навчальних </w:t>
      </w:r>
      <w:r>
        <w:rPr>
          <w:rFonts w:eastAsia="Calibri"/>
          <w:szCs w:val="28"/>
        </w:rPr>
        <w:t xml:space="preserve">досягнень учнів початкової школи, затверджені </w:t>
      </w:r>
      <w:r>
        <w:rPr>
          <w:rFonts w:eastAsia="Calibri"/>
          <w:i/>
          <w:iCs/>
          <w:szCs w:val="28"/>
        </w:rPr>
        <w:t>наказом Міністерства освіти і науки України від 19 серпня 2016 р. №1009.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 xml:space="preserve">Здобувачі початкової освіти проходять державну підсумкову атестацію, яка здійснюється лише з метою моніторингу якості освітньої діяльності закладу. </w:t>
      </w:r>
    </w:p>
    <w:p w:rsidR="00C71E4A" w:rsidRDefault="00C71E4A" w:rsidP="00C71E4A">
      <w:pPr>
        <w:spacing w:line="252" w:lineRule="auto"/>
        <w:ind w:firstLine="680"/>
        <w:jc w:val="both"/>
      </w:pPr>
      <w:r>
        <w:rPr>
          <w:szCs w:val="28"/>
        </w:rPr>
        <w:t xml:space="preserve">Критерії   базової та повної загальної середньої освіти реалізуються   в  нормах  чотирьох  рівнів </w:t>
      </w:r>
      <w:r>
        <w:rPr>
          <w:rFonts w:eastAsia="Calibri"/>
          <w:szCs w:val="28"/>
        </w:rPr>
        <w:t xml:space="preserve">досягнень: </w:t>
      </w:r>
      <w:r>
        <w:rPr>
          <w:rFonts w:eastAsia="Calibri"/>
          <w:i/>
          <w:iCs/>
          <w:szCs w:val="28"/>
        </w:rPr>
        <w:t>початковий,  середній,  достатній,  високий</w:t>
      </w:r>
      <w:r>
        <w:rPr>
          <w:rFonts w:eastAsia="Calibri"/>
          <w:szCs w:val="28"/>
        </w:rPr>
        <w:t xml:space="preserve">, затверджені наказом Міністерства освіти і науки від 13 квітня 2011 р.  № 329, зареєстрованого </w:t>
      </w:r>
      <w:r>
        <w:rPr>
          <w:szCs w:val="28"/>
        </w:rPr>
        <w:t>в Міністерстві  юстиції України 11 травня 2011 р. З</w:t>
      </w:r>
      <w:r>
        <w:rPr>
          <w:rFonts w:eastAsia="Calibri"/>
          <w:szCs w:val="28"/>
        </w:rPr>
        <w:t>а № 566/19304.</w:t>
      </w:r>
    </w:p>
    <w:p w:rsidR="00C71E4A" w:rsidRDefault="00C71E4A" w:rsidP="00C71E4A">
      <w:pPr>
        <w:spacing w:line="252" w:lineRule="auto"/>
        <w:ind w:firstLine="680"/>
        <w:jc w:val="both"/>
      </w:pPr>
      <w:r>
        <w:rPr>
          <w:szCs w:val="28"/>
        </w:rPr>
        <w:t>Перший рівень  -   початковий.   Відповідь   учня фрагментарна,  характеризується початковими уявленнями про предмет вивчення.</w:t>
      </w:r>
    </w:p>
    <w:p w:rsidR="00C71E4A" w:rsidRDefault="00C71E4A" w:rsidP="00C71E4A">
      <w:pPr>
        <w:spacing w:line="252" w:lineRule="auto"/>
        <w:jc w:val="both"/>
      </w:pPr>
      <w:r>
        <w:rPr>
          <w:szCs w:val="28"/>
        </w:rPr>
        <w:t xml:space="preserve">     Другий рівень - середній.  Учень відтворює основний навчальний  матеріал,  виконує  завдання   за   зразком,   володіє елементарними вміннями навчальної діяльності.</w:t>
      </w:r>
    </w:p>
    <w:p w:rsidR="00C71E4A" w:rsidRDefault="00C71E4A" w:rsidP="00C71E4A">
      <w:pPr>
        <w:spacing w:line="252" w:lineRule="auto"/>
        <w:jc w:val="both"/>
      </w:pPr>
      <w:r>
        <w:rPr>
          <w:szCs w:val="28"/>
        </w:rPr>
        <w:t xml:space="preserve">     Третій рівень  -  достатній.  Учень  знає  істотні ознаки  понять,  явищ,  зв'язки  між  ними,  вміє пояснити основні закономірності, а також самостійно застосовує знання в стандартних ситуаціях,     володіє     розумовими     операціями    (аналізом, абстрагуванням,  узагальненням  тощо),   вміє   робити   висновки, виправляти  допущені помилки.  Відповідь учня правильна, логічна, обґрунтована, хоча у ній бракує власних суджень.</w:t>
      </w:r>
    </w:p>
    <w:p w:rsidR="00C71E4A" w:rsidRDefault="00C71E4A" w:rsidP="00C71E4A">
      <w:pPr>
        <w:spacing w:line="252" w:lineRule="auto"/>
        <w:jc w:val="both"/>
      </w:pPr>
      <w:r>
        <w:rPr>
          <w:szCs w:val="28"/>
        </w:rPr>
        <w:t xml:space="preserve">     Четвертий рівень   -   високий.   Знання   учня  є глибокими, міцними, системними; учень  вміє застосовувати їх  для виконання творчих завдань,  його  навчальна діяльність позначена  вмінням  самостійно  оцінювати  різноманітні  ситуації, явища, факти, виявляти і відстоювати особисту позицію.</w:t>
      </w:r>
    </w:p>
    <w:p w:rsidR="00C71E4A" w:rsidRDefault="00C71E4A" w:rsidP="00C71E4A">
      <w:pPr>
        <w:spacing w:line="252" w:lineRule="auto"/>
        <w:jc w:val="both"/>
      </w:pPr>
      <w:r>
        <w:rPr>
          <w:szCs w:val="28"/>
        </w:rPr>
        <w:t xml:space="preserve">     Кожний наступний  рівень  вимог  вбирає  в  себе  вимоги   до </w:t>
      </w:r>
      <w:r>
        <w:rPr>
          <w:rFonts w:eastAsia="Calibri"/>
          <w:szCs w:val="28"/>
        </w:rPr>
        <w:t>попереднього, а також додає нові.</w:t>
      </w:r>
    </w:p>
    <w:p w:rsidR="00C71E4A" w:rsidRDefault="00C71E4A" w:rsidP="00C71E4A">
      <w:pPr>
        <w:spacing w:line="252" w:lineRule="auto"/>
        <w:ind w:firstLine="680"/>
        <w:jc w:val="both"/>
      </w:pPr>
    </w:p>
    <w:p w:rsidR="00C71E4A" w:rsidRDefault="00C71E4A" w:rsidP="00C71E4A">
      <w:pPr>
        <w:jc w:val="both"/>
      </w:pPr>
      <w:r>
        <w:rPr>
          <w:b/>
          <w:bCs/>
          <w:i/>
          <w:szCs w:val="28"/>
        </w:rPr>
        <w:lastRenderedPageBreak/>
        <w:t xml:space="preserve"> </w:t>
      </w:r>
      <w:r>
        <w:rPr>
          <w:rFonts w:eastAsia="Calibri"/>
          <w:b/>
          <w:bCs/>
          <w:i/>
          <w:szCs w:val="28"/>
        </w:rPr>
        <w:t xml:space="preserve">Компоненти системи  внутрішнього забезпечення якості: 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 xml:space="preserve">- виконання  навчальних планів та освітньої програми (контроль за виконанням), 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кадрове забезпечення освітньої діяльності (створення необхідних умов для підвищення фахового кваліфікаційного рівня педагогічних працівників);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 xml:space="preserve">- навчально-методичне забезпечення освітньої діяльності (оновлення методичної бази освітньої діяльності); 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забезпечення наявності необхідних ресурсів для організації освітнього процесу, в тому числі для самостійної роботи здобувачів освіти;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матеріально-технічне забезпечення освітньої діяльності;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якість проведення навчальних занять;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моніторинг досягнення учнями результатів навчання (</w:t>
      </w:r>
      <w:proofErr w:type="spellStart"/>
      <w:r>
        <w:rPr>
          <w:rFonts w:eastAsia="Calibri"/>
          <w:szCs w:val="28"/>
        </w:rPr>
        <w:t>компетентностей</w:t>
      </w:r>
      <w:proofErr w:type="spellEnd"/>
      <w:r>
        <w:rPr>
          <w:rFonts w:eastAsia="Calibri"/>
          <w:szCs w:val="28"/>
        </w:rPr>
        <w:t>), якості знань, умінь і навичок учнів, розробка рекомендацій щодо їх покращення;</w:t>
      </w:r>
    </w:p>
    <w:p w:rsidR="00C71E4A" w:rsidRDefault="00C71E4A" w:rsidP="00C71E4A">
      <w:pPr>
        <w:ind w:firstLine="851"/>
        <w:jc w:val="both"/>
      </w:pPr>
      <w:r>
        <w:rPr>
          <w:rFonts w:eastAsia="Calibri"/>
          <w:szCs w:val="28"/>
        </w:rPr>
        <w:t>- моніторинг та оптимізація соціально-психологічного середовища закладу освіти;</w:t>
      </w:r>
    </w:p>
    <w:p w:rsidR="00C71E4A" w:rsidRDefault="00C71E4A" w:rsidP="00C71E4A">
      <w:pPr>
        <w:pStyle w:val="docdata"/>
        <w:tabs>
          <w:tab w:val="left" w:pos="1276"/>
        </w:tabs>
        <w:spacing w:before="0" w:after="0"/>
        <w:ind w:left="-540" w:firstLine="1080"/>
        <w:jc w:val="both"/>
      </w:pPr>
      <w:r>
        <w:rPr>
          <w:rFonts w:eastAsia="Calibri"/>
          <w:b/>
          <w:bCs/>
          <w:sz w:val="28"/>
          <w:szCs w:val="28"/>
          <w:lang w:val="ru-RU"/>
        </w:rPr>
        <w:t xml:space="preserve">- </w:t>
      </w:r>
      <w:proofErr w:type="spellStart"/>
      <w:r>
        <w:rPr>
          <w:rFonts w:eastAsia="Calibri"/>
          <w:b/>
          <w:bCs/>
          <w:sz w:val="28"/>
          <w:szCs w:val="28"/>
          <w:lang w:val="ru-RU"/>
        </w:rPr>
        <w:t>академічна</w:t>
      </w:r>
      <w:proofErr w:type="spellEnd"/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val="ru-RU"/>
        </w:rPr>
        <w:t>доброчесність</w:t>
      </w:r>
      <w:proofErr w:type="spellEnd"/>
      <w:r>
        <w:rPr>
          <w:rFonts w:eastAsia="Calibri"/>
          <w:b/>
          <w:bCs/>
          <w:sz w:val="28"/>
          <w:szCs w:val="28"/>
          <w:lang w:val="ru-RU"/>
        </w:rPr>
        <w:t>.</w:t>
      </w:r>
    </w:p>
    <w:p w:rsidR="008B6981" w:rsidRDefault="008B6981"/>
    <w:sectPr w:rsidR="008B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A"/>
    <w:rsid w:val="008B6981"/>
    <w:rsid w:val="00C71E4A"/>
    <w:rsid w:val="00E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C2DD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2D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2DD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No Spacing"/>
    <w:uiPriority w:val="1"/>
    <w:qFormat/>
    <w:rsid w:val="00EC2DD4"/>
    <w:pPr>
      <w:spacing w:after="0" w:line="240" w:lineRule="auto"/>
    </w:pPr>
    <w:rPr>
      <w:lang w:val="en-US"/>
    </w:rPr>
  </w:style>
  <w:style w:type="paragraph" w:customStyle="1" w:styleId="docdata">
    <w:name w:val="docdata"/>
    <w:basedOn w:val="a"/>
    <w:rsid w:val="00C71E4A"/>
    <w:pPr>
      <w:spacing w:before="280" w:after="2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C2DD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C2DD4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2D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2DD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No Spacing"/>
    <w:uiPriority w:val="1"/>
    <w:qFormat/>
    <w:rsid w:val="00EC2DD4"/>
    <w:pPr>
      <w:spacing w:after="0" w:line="240" w:lineRule="auto"/>
    </w:pPr>
    <w:rPr>
      <w:lang w:val="en-US"/>
    </w:rPr>
  </w:style>
  <w:style w:type="paragraph" w:customStyle="1" w:styleId="docdata">
    <w:name w:val="docdata"/>
    <w:basedOn w:val="a"/>
    <w:rsid w:val="00C71E4A"/>
    <w:pPr>
      <w:spacing w:before="280" w:after="2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2020-01-24T08:57:00Z</dcterms:created>
  <dcterms:modified xsi:type="dcterms:W3CDTF">2020-01-24T08:57:00Z</dcterms:modified>
</cp:coreProperties>
</file>