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CF" w:rsidRPr="00893321" w:rsidRDefault="00CA4ECF" w:rsidP="00893321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Style w:val="a4"/>
          <w:color w:val="FF0000"/>
          <w:sz w:val="28"/>
          <w:szCs w:val="28"/>
          <w:u w:val="single"/>
          <w:bdr w:val="none" w:sz="0" w:space="0" w:color="auto" w:frame="1"/>
        </w:rPr>
      </w:pPr>
      <w:r w:rsidRPr="00893321">
        <w:rPr>
          <w:rStyle w:val="a4"/>
          <w:color w:val="FF0000"/>
          <w:sz w:val="28"/>
          <w:szCs w:val="28"/>
          <w:u w:val="single"/>
          <w:bdr w:val="none" w:sz="0" w:space="0" w:color="auto" w:frame="1"/>
        </w:rPr>
        <w:t>ДІЯЛЬНІСТЬ ЩОДО ЗАПОБІГАННЯ БУЛІНГУ.</w:t>
      </w:r>
    </w:p>
    <w:p w:rsidR="00893321" w:rsidRPr="00893321" w:rsidRDefault="00893321" w:rsidP="00893321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4A4A4A"/>
          <w:sz w:val="28"/>
          <w:szCs w:val="28"/>
        </w:rPr>
      </w:pP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Принципи органі</w:t>
      </w:r>
      <w:r w:rsidR="0098249F">
        <w:rPr>
          <w:color w:val="4A4A4A"/>
          <w:sz w:val="28"/>
          <w:szCs w:val="28"/>
        </w:rPr>
        <w:t>зації роботи у закладі загальношкільно</w:t>
      </w:r>
      <w:r w:rsidRPr="00893321">
        <w:rPr>
          <w:color w:val="4A4A4A"/>
          <w:sz w:val="28"/>
          <w:szCs w:val="28"/>
        </w:rPr>
        <w:t>ї освіти.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Психолого-педагогічна діяльність, спрямована на профілактику і подолання боулінгу організовується з урахуванням інтересів вихованців та залученням усіх учасників освітнього процесу: адміністрації, педагогів, вихованців і батьків.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Перший етап протидії насиллю у навчальному закладі – організа</w:t>
      </w:r>
      <w:r w:rsidR="00EF23F5">
        <w:rPr>
          <w:color w:val="4A4A4A"/>
          <w:sz w:val="28"/>
          <w:szCs w:val="28"/>
        </w:rPr>
        <w:t>ція ефективної роботи вчителя</w:t>
      </w:r>
      <w:r w:rsidRPr="00893321">
        <w:rPr>
          <w:color w:val="4A4A4A"/>
          <w:sz w:val="28"/>
          <w:szCs w:val="28"/>
        </w:rPr>
        <w:t>, щодо запобігання булінгу.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 xml:space="preserve">Другий етап– здійснення заходів, спрямованих безпосередньо проти булінгу. Ці заходи реалізуються лише після успішного налагодження стосунків між </w:t>
      </w:r>
      <w:r w:rsidR="00EF23F5">
        <w:rPr>
          <w:color w:val="4A4A4A"/>
          <w:sz w:val="28"/>
          <w:szCs w:val="28"/>
        </w:rPr>
        <w:t>вчител</w:t>
      </w:r>
      <w:r w:rsidRPr="00893321">
        <w:rPr>
          <w:color w:val="4A4A4A"/>
          <w:sz w:val="28"/>
          <w:szCs w:val="28"/>
        </w:rPr>
        <w:t>ями та вихованцями. Отже, робота з подолання булінгу складається з: профілактичної роботи з вихованцями; роботи з батьками; надання спеціальної допомоги учасникам булінгу. Однією з можливих форм роботи, що спрямована на профілактику насильства у навчальному закладі, може бути арт-терапія, вивчення літературних творів, розгляд ілюстрацій, інсценування,</w:t>
      </w:r>
      <w:r w:rsidR="00EF23F5">
        <w:rPr>
          <w:color w:val="4A4A4A"/>
          <w:sz w:val="28"/>
          <w:szCs w:val="28"/>
        </w:rPr>
        <w:t xml:space="preserve"> </w:t>
      </w:r>
      <w:r w:rsidRPr="00893321">
        <w:rPr>
          <w:color w:val="4A4A4A"/>
          <w:sz w:val="28"/>
          <w:szCs w:val="28"/>
        </w:rPr>
        <w:t>художньо-продуктивна діяльність, моделювання альтернативного варіанту розвитку подій.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1. Після того, як Комісія з розгляду випадків булінгу</w:t>
      </w:r>
      <w:bookmarkStart w:id="0" w:name="_GoBack"/>
      <w:bookmarkEnd w:id="0"/>
      <w:r w:rsidRPr="00893321">
        <w:rPr>
          <w:color w:val="4A4A4A"/>
          <w:sz w:val="28"/>
          <w:szCs w:val="28"/>
        </w:rPr>
        <w:t xml:space="preserve"> (цькування) визнала, що це був </w:t>
      </w:r>
      <w:proofErr w:type="spellStart"/>
      <w:r w:rsidRPr="00893321">
        <w:rPr>
          <w:color w:val="4A4A4A"/>
          <w:sz w:val="28"/>
          <w:szCs w:val="28"/>
        </w:rPr>
        <w:t>булінг</w:t>
      </w:r>
      <w:proofErr w:type="spellEnd"/>
      <w:r w:rsidRPr="00893321">
        <w:rPr>
          <w:color w:val="4A4A4A"/>
          <w:sz w:val="28"/>
          <w:szCs w:val="28"/>
        </w:rPr>
        <w:t xml:space="preserve"> (цькування), а не одноразовий конфлікт чи сварка, тобто відповідні дії носять систематичний характер, то директор закладу зобов’язаний повідомити уповноважені підрозділи органів Національної поліції України (ювенальна поліція) та Службу у справах дітей.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2. Особи, визнані причетними до булінгу, несуть відповідальність відповідно до частини другої статті 13 (вчинення правопорушень за статтею 1734) Кодексу України про адміністративні правопорушення.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 xml:space="preserve">3. Директор закладу забезпечує виконання заходів для надання соціальних та психолого-педагогічних послуг здобувачам освіти, які вчинили </w:t>
      </w:r>
      <w:proofErr w:type="spellStart"/>
      <w:r w:rsidRPr="00893321">
        <w:rPr>
          <w:color w:val="4A4A4A"/>
          <w:sz w:val="28"/>
          <w:szCs w:val="28"/>
        </w:rPr>
        <w:t>булінг</w:t>
      </w:r>
      <w:proofErr w:type="spellEnd"/>
      <w:r w:rsidRPr="00893321">
        <w:rPr>
          <w:color w:val="4A4A4A"/>
          <w:sz w:val="28"/>
          <w:szCs w:val="28"/>
        </w:rPr>
        <w:t>, стали його свідками або постраждали від булінгу (цькування).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 xml:space="preserve">4. У разі, якщо Комісія не кваліфікує випадок як </w:t>
      </w:r>
      <w:proofErr w:type="spellStart"/>
      <w:r w:rsidRPr="00893321">
        <w:rPr>
          <w:color w:val="4A4A4A"/>
          <w:sz w:val="28"/>
          <w:szCs w:val="28"/>
        </w:rPr>
        <w:t>булінг</w:t>
      </w:r>
      <w:proofErr w:type="spellEnd"/>
      <w:r w:rsidRPr="00893321">
        <w:rPr>
          <w:color w:val="4A4A4A"/>
          <w:sz w:val="28"/>
          <w:szCs w:val="28"/>
        </w:rPr>
        <w:t>, а постраждалий (чи його/її представник) не згодний з рішенням Комісії, то він може одразу звернутися до органів Національної поліції України із заявою, про що має повідомити директора закладу.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5. Потерпілий чи його/її представник також можуть звертатися відразу до уповноважених підрозділів органів Національної поліції України (ювенальна поліція) та Служби у справах дітей з повідомленням про випадки булінгу (цькування), попередивши про звернення директора ЗДО.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lastRenderedPageBreak/>
        <w:t xml:space="preserve">6. Якщо Комісія не кваліфікує випадок як </w:t>
      </w:r>
      <w:proofErr w:type="spellStart"/>
      <w:r w:rsidRPr="00893321">
        <w:rPr>
          <w:color w:val="4A4A4A"/>
          <w:sz w:val="28"/>
          <w:szCs w:val="28"/>
        </w:rPr>
        <w:t>булінг</w:t>
      </w:r>
      <w:proofErr w:type="spellEnd"/>
      <w:r w:rsidRPr="00893321">
        <w:rPr>
          <w:color w:val="4A4A4A"/>
          <w:sz w:val="28"/>
          <w:szCs w:val="28"/>
        </w:rPr>
        <w:t xml:space="preserve"> (сварка чи конфлікт був одноразовим випадком), питання з налагодження мікроклімату в дитячому середовищі та розв’язання конфлікту вирішується у межах закладу учасниками освітнього процесу.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 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noProof/>
          <w:color w:val="4A4A4A"/>
          <w:sz w:val="28"/>
          <w:szCs w:val="28"/>
          <w:lang w:eastAsia="uk-UA"/>
        </w:rPr>
        <w:drawing>
          <wp:inline distT="0" distB="0" distL="0" distR="0">
            <wp:extent cx="5810250" cy="5553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 </w:t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noProof/>
          <w:color w:val="4A4A4A"/>
          <w:sz w:val="28"/>
          <w:szCs w:val="28"/>
          <w:lang w:eastAsia="uk-UA"/>
        </w:rPr>
        <w:drawing>
          <wp:inline distT="0" distB="0" distL="0" distR="0">
            <wp:extent cx="5940425" cy="8399145"/>
            <wp:effectExtent l="0" t="0" r="3175" b="1905"/>
            <wp:docPr id="1" name="Рисунок 1" descr="Полтавський дошкільний навчальний заклад №65 - Сторінка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тавський дошкільний навчальний заклад №65 - Сторінка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CF" w:rsidRPr="00893321" w:rsidRDefault="00CA4ECF" w:rsidP="00893321">
      <w:pPr>
        <w:pStyle w:val="a3"/>
        <w:shd w:val="clear" w:color="auto" w:fill="FFFFFF"/>
        <w:spacing w:before="0" w:beforeAutospacing="0" w:after="300" w:afterAutospacing="0"/>
        <w:ind w:firstLine="142"/>
        <w:rPr>
          <w:color w:val="4A4A4A"/>
          <w:sz w:val="28"/>
          <w:szCs w:val="28"/>
        </w:rPr>
      </w:pPr>
      <w:r w:rsidRPr="00893321">
        <w:rPr>
          <w:color w:val="4A4A4A"/>
          <w:sz w:val="28"/>
          <w:szCs w:val="28"/>
        </w:rPr>
        <w:t> </w:t>
      </w:r>
    </w:p>
    <w:p w:rsidR="00FA3BEB" w:rsidRPr="00893321" w:rsidRDefault="00FA3BEB" w:rsidP="00893321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FA3BEB" w:rsidRPr="00893321" w:rsidSect="00CA4EC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CF"/>
    <w:rsid w:val="00893321"/>
    <w:rsid w:val="0098249F"/>
    <w:rsid w:val="00CA4ECF"/>
    <w:rsid w:val="00EF23F5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A860D-7940-4D2E-B46C-2824EA25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1628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2021-07-07T17:58:00Z</dcterms:created>
  <dcterms:modified xsi:type="dcterms:W3CDTF">2022-01-05T08:10:00Z</dcterms:modified>
</cp:coreProperties>
</file>