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6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9273"/>
      </w:tblGrid>
      <w:tr w:rsidR="008B4CED" w:rsidRPr="00BC74BE" w:rsidTr="008B4CED">
        <w:trPr>
          <w:trHeight w:val="3758"/>
        </w:trPr>
        <w:tc>
          <w:tcPr>
            <w:tcW w:w="9273" w:type="dxa"/>
            <w:tcBorders>
              <w:top w:val="nil"/>
            </w:tcBorders>
            <w:shd w:val="clear" w:color="auto" w:fill="auto"/>
            <w:hideMark/>
          </w:tcPr>
          <w:p w:rsidR="008B4CED" w:rsidRDefault="008B4CED" w:rsidP="008B4C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n4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CED" w:rsidRDefault="008B4CED" w:rsidP="008B4C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74BE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lang w:eastAsia="ru-RU"/>
              </w:rPr>
              <w:t>МІНІСТЕРСТВО ОСВІТИ І НАУКИ УКРАЇНИ</w:t>
            </w:r>
          </w:p>
          <w:p w:rsidR="008B4CED" w:rsidRDefault="008B4CED" w:rsidP="008B4C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74BE">
              <w:rPr>
                <w:rFonts w:ascii="&amp;quot" w:eastAsia="Times New Roman" w:hAnsi="&amp;quot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  <w:p w:rsidR="00BC74BE" w:rsidRPr="00BC74BE" w:rsidRDefault="008B4CED" w:rsidP="008B4C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ED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lang w:eastAsia="ru-RU"/>
              </w:rPr>
              <w:t>16.04.2018  № 367</w:t>
            </w:r>
          </w:p>
        </w:tc>
      </w:tr>
      <w:tr w:rsidR="008B4CED" w:rsidRPr="008B4CED" w:rsidTr="008B4CED">
        <w:tc>
          <w:tcPr>
            <w:tcW w:w="9273" w:type="dxa"/>
            <w:tcBorders>
              <w:bottom w:val="nil"/>
            </w:tcBorders>
            <w:hideMark/>
          </w:tcPr>
          <w:p w:rsidR="008B4CED" w:rsidRPr="008B4CED" w:rsidRDefault="008B4CED" w:rsidP="008B4CED">
            <w:pPr>
              <w:spacing w:after="0" w:line="240" w:lineRule="auto"/>
              <w:ind w:left="5673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 травня 2018 р.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564/32016</w:t>
            </w:r>
          </w:p>
        </w:tc>
      </w:tr>
    </w:tbl>
    <w:p w:rsid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Порядку зарахування, відрахування та переведення учні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державних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n156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абзацу першого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третьої статті 18 Закону України «Про загальну середню освіту» НАКАЗУЮ: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6" w:anchor="n15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зарахування, відрахування та переведення учні</w:t>
        </w:r>
        <w:proofErr w:type="gramStart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державних </w:t>
        </w:r>
        <w:proofErr w:type="gramStart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</w:t>
        </w:r>
        <w:proofErr w:type="gramEnd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комунальних закладів освіти для здобуття повної загальної середньої освіти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таким, що втратив чинність, </w:t>
      </w:r>
      <w:hyperlink r:id="rId7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освіти і науки України від 19 червня 2003 року № 389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інтернатів)», зареєстрований в Міністерстві юстиції України 04 липня 2003 року за № 547/7868.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Управлінню адміністративно-господарського та організаційного забезпечення (Єрко І.А.) в установленому порядку зробити відмітку у справах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цього наказу покласти на заступника Міністра Хобзея П.К.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8B4CED" w:rsidRPr="008B4CED" w:rsidTr="008B4CED">
        <w:trPr>
          <w:trHeight w:val="2225"/>
        </w:trPr>
        <w:tc>
          <w:tcPr>
            <w:tcW w:w="5000" w:type="pct"/>
            <w:tcBorders>
              <w:top w:val="nil"/>
            </w:tcBorders>
            <w:hideMark/>
          </w:tcPr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Pr="008B4CED" w:rsidRDefault="008B4CED" w:rsidP="008B4C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Гриневич</w:t>
            </w: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P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83"/>
      <w:bookmarkEnd w:id="1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5617"/>
        <w:gridCol w:w="3745"/>
      </w:tblGrid>
      <w:tr w:rsidR="008B4CED" w:rsidRPr="008B4CED" w:rsidTr="008B4CED">
        <w:tc>
          <w:tcPr>
            <w:tcW w:w="3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4CED" w:rsidRP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</w:p>
        </w:tc>
        <w:tc>
          <w:tcPr>
            <w:tcW w:w="2000" w:type="pct"/>
            <w:vMerge w:val="restart"/>
            <w:tcBorders>
              <w:top w:val="nil"/>
              <w:left w:val="single" w:sz="2" w:space="0" w:color="auto"/>
            </w:tcBorders>
            <w:hideMark/>
          </w:tcPr>
          <w:p w:rsidR="008B4CED" w:rsidRPr="008B4CED" w:rsidRDefault="008B4CED" w:rsidP="008B4CE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Наказ Міністерства освіти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науки України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16.04.2018 № 367</w:t>
            </w:r>
          </w:p>
          <w:p w:rsidR="008B4CED" w:rsidRDefault="008B4CED" w:rsidP="008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ED" w:rsidRDefault="008B4CED" w:rsidP="008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 травня 2018 р.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564/32016</w:t>
            </w:r>
          </w:p>
          <w:p w:rsidR="008B4CED" w:rsidRPr="008B4CED" w:rsidRDefault="008B4CED" w:rsidP="008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ED" w:rsidRPr="008B4CED" w:rsidTr="008B4CED">
        <w:trPr>
          <w:gridBefore w:val="1"/>
          <w:wBefore w:w="3000" w:type="pct"/>
          <w:trHeight w:val="276"/>
        </w:trPr>
        <w:tc>
          <w:tcPr>
            <w:tcW w:w="2000" w:type="pct"/>
            <w:vMerge/>
            <w:tcBorders>
              <w:left w:val="nil"/>
              <w:bottom w:val="nil"/>
            </w:tcBorders>
            <w:hideMark/>
          </w:tcPr>
          <w:p w:rsidR="008B4CED" w:rsidRP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</w:p>
        </w:tc>
      </w:tr>
    </w:tbl>
    <w:p w:rsidR="008B4CED" w:rsidRPr="008B4CED" w:rsidRDefault="008B4CED" w:rsidP="008B4CE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bookmarkStart w:id="13" w:name="n15"/>
      <w:bookmarkEnd w:id="13"/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lastRenderedPageBreak/>
        <w:t xml:space="preserve">ПОРЯДОК </w:t>
      </w:r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br/>
        <w:t>зарахування, відрахування та переведення учні</w:t>
      </w:r>
      <w:proofErr w:type="gramStart"/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до державних </w:t>
      </w:r>
      <w:proofErr w:type="gramStart"/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та</w:t>
      </w:r>
      <w:proofErr w:type="gramEnd"/>
      <w:r w:rsidRPr="008B4CE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І. Загальні положення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Порядок визначає механізми: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ільної середньої освіти за денною формою навчання;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 учнів з одного закладу освіти до іншого;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 учнів із закладів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цьому Порядку терміни вживаються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значеннях: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вільні місця - місця,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може бути зараховано дитину (дітей) в межах спроможності закладу освіти та нормативу наповнюваності класів, визначеного </w:t>
      </w:r>
      <w:hyperlink r:id="rId8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які мають право на першочергове зарахування, - діти, які проживають на території обслуговування закладу освіти;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 - спосіб конкурсного відбору дітей для зарахування на вільні місця;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освіти -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ільної середньої освіти;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спроможність закладу освіти -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 обслуговування - адміністративно-територіальна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 проживання дитини.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терміни вживаються у значеннях, наведених в Законах України </w:t>
      </w:r>
      <w:hyperlink r:id="rId9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“Про освіту”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“Про загальну середню освіту”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цього Порядку щодо батьків дитини стосуються також інших її законних представникі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Порядок не поширюється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заклади спеціалізованої освіти мистецького,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військового чи наукового спрямування;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реабілітації);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професійної (професійно-технічної), фахової передвищої та вищої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Зарахування до закладу освіти здійснюється відповідно до наказу його керівника, що видається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 </w:t>
      </w:r>
      <w:hyperlink r:id="rId11" w:anchor="n180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додатком 1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Порядку,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якої додаються: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копія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оригінал або копія медичної довідки за </w:t>
      </w:r>
      <w:hyperlink r:id="rId12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формою первинної </w:t>
        </w:r>
        <w:proofErr w:type="gramStart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оригінал або копія відповідного документа про освіту (за наявності).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подання копій документів, передбачених цим пунктом, оригінали мають бути подані до видання наказу про зарахування (крім документа, визначеного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ідпунктом 1 цього пункту).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Діти або один з їх батьків, які мають довідку про взяття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без подання зазначених документів згідно з цим Порядком.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які не мають одного (чи обох) документ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ів), визначеного(их) підпунктами 1 та/або 3 пункту 4 цього розділу, та довідки, визначеної </w:t>
      </w:r>
      <w:hyperlink r:id="rId13" w:anchor="n182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додатком 2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Порядку, зараховуються до закладу освіти згідно з цим Порядком. У разі відсутності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народження дитини для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 </w:t>
      </w:r>
      <w:hyperlink r:id="rId14" w:anchor="n40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екстернат у загальноосвітніх навчальних закладах, затвердженого наказом Міністерства освіти і науки України від 13 березня 2017 року № 369, зареєстрованого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юстиції України 26 березня 2017 року за № 416/30284.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Зарахування дітей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здійснюється, як правило, до початку навчального року та відповідно до території обслуговування (крім закладів освіти ІІ, ІІ-ІІІ ступенів та ІІІ ступеня).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місцевого самоврядування та місцевим органам виконавчої влади рекомендовано щороку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ніж за один місяць до завершення прийому заяв про зарахування визначати дату початку їх приймання. Такий строк не може бути меншим одного місяця (у 2018 році - не менше трьох тижнів).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дітей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зарахування дітей до закладу освіти їх розподіл між класами відбувається в межах нормативу наповнюваності класів, визначеного </w:t>
      </w:r>
      <w:hyperlink r:id="rId15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здійснюється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7. Інформація про закріплену за закладом територію обслуговування, спроможність закладу освіти, кількість учнів у кожному класі та відповідно наявність вільних місць у кожному з них обов’язково оприлюднюється на інформаційному стенді закладу освіти та на його веб-сайті (у разі відсутності веб-сайту закладу осв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 - на веб-сайті органу, у сфері </w:t>
      </w:r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управління якого перебуває заклад освіти) щороку впродовж двох робочих днів з дня прийняття відповідного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ішення, але не пізніше ніж за місяць до початку прийому заяв закладами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Заклади освіти (їх філії) обробляють надані їм персональні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відповідно до </w:t>
      </w:r>
      <w:hyperlink r:id="rId16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захист персональних даних».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Переведення учня до іншого закладу освіти здійснюється відповідно до </w:t>
      </w:r>
      <w:hyperlink r:id="rId17" w:anchor="n154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ІІІ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наказу керівника закладу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Відрахування учня із закладу освіти здійснюється відповідно до </w:t>
      </w:r>
      <w:hyperlink r:id="rId18" w:anchor="n166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ІV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наказу керівника закладу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першого за ним робочого дня.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 повноту і достовірність усієї інформації та усіх документів, що подаються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відповідає згідно з вимогами законодавства особа, яка їх подає.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ішення, дії або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 недотримання працівниками закладу освіти положень цього Порядку відповідає керівник цього закладу освіти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7"/>
      <w:bookmarkEnd w:id="5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Зарахування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загальної середньої освіти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Зарахування до початкової школи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Заява про зарахування дитини до першого класу закладу освіти, за яким закріплена територія обслуговування,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якій проживає ця дитина, та документи, визначені </w:t>
      </w:r>
      <w:hyperlink r:id="rId19" w:anchor="n34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Порядку, подаються до відповідного закладу одним з батьків дитини особисто до 31 травня.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заяви про зарахування та документи, визначені пунктом 4 розділу І цього Порядку, до 31 травня можуть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подані до інших закладів освіти (без обмеження їх кількості) для зарахування на вільні місця.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наявності та за бажанням одного з батьків при поданні заяви про зарахування може бути пред’явлено документ, що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Впродовж 01-15 червня заяви про зарахування не приймаються, що не виключає права батьків подавати їх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на вільні місця.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Присутність дитини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Дитина зараховується до першого класу за однією з процедур, визначених </w:t>
      </w:r>
      <w:hyperlink r:id="rId20" w:anchor="n65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n87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</w:t>
      </w:r>
      <w:hyperlink r:id="rId22" w:anchor="n68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</w:t>
      </w:r>
      <w:hyperlink r:id="rId23" w:anchor="n90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розділу.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5"/>
      <w:bookmarkEnd w:id="6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Якщо станом на 31 травня кількість поданих заяв про зарахування не перевищує загальної кількості місць у першому (перших) класі (класах),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01 червня видається наказ про зарахування усіх дітей.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зарахованих учнів із зазначенням їх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 оприлюднюється виключно в закладі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n46" w:history="1">
        <w:proofErr w:type="gramStart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</w:t>
        </w:r>
        <w:proofErr w:type="gramEnd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Якщо станом на 31 травня кількість поданих заяв про зарахування перевищує загальну кількість місць у першому (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перших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класі (класах), зарахування дітей відбувається за такими правилами: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(за його наявності);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</w:t>
      </w:r>
      <w:hyperlink r:id="rId25" w:anchor="n92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глави 2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розділу, схвалюється педагогічною радою закладу освіти та затверджується його керівником;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відрахування з цього закладу чи незарахування до нього. Така довідка має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Впродовж двох робочих днів з дня зарахування дітей відповідно до </w:t>
      </w:r>
      <w:hyperlink r:id="rId26" w:anchor="n69" w:history="1">
        <w:proofErr w:type="gramStart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ідпункту 1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 цієї глави заклад освіти оприлюднює з дотриманням</w:t>
      </w:r>
      <w:hyperlink r:id="rId27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Закону України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захист персональних даних» на інформаційному стенді закладу освіти, а також на офіційному веб-сайті закладу освіти (у разі відсутності веб-сайту закладу освіти -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 органу, у сфері управління якого перебуває заклад освіти):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зарахованих учнів із зазначенням лише їх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дату, час,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 і спосіб проведення жеребкування;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інформацію про кількість вільних місць і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 дітей, які претендують на вільні місця;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відкриття додаткового (додаткових) класу (класів),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інклюзивного чи спеціального;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необхідних змі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організації освітнього процесу;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вивільнення приміщень, що використовуються не за призначенням (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шляхом припинення орендних відносин).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якщо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відбувається у такому порядку: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28" w:anchor="n46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державною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інших дітей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 (за їх наявності) відбувається за результатами жеребкування до 15 червня включно.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Особливості зарахування дітей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Зарахування дітей до 2-4 класів початкової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 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ідбувається на вільні місця у порядку надходження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проведення жеребкування для зарахування дітей до закладу осві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Жеребкування проводиться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 з 05 по 10 червня.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місця, або уповноваженої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(далі - учасники жеребкування) на засадах випадкової вибірки, прозорості та відкритості.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5"/>
      <w:bookmarkEnd w:id="93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6"/>
      <w:bookmarkEnd w:id="9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 виготовлений з прозорого матер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7"/>
      <w:bookmarkEnd w:id="9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діставання їх з пристрою.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8"/>
      <w:bookmarkEnd w:id="9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пристрою та жеребків визначається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до її засідання, на якому відбувається жеребкування.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9"/>
      <w:bookmarkEnd w:id="9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Загальна кількість жеребків має дорівнювати кількості дітей, які претендують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100"/>
      <w:bookmarkEnd w:id="9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жеребків, які дають право бути зарахованим на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відповідному протоколі засідання конкурсної комісії.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1"/>
      <w:bookmarkEnd w:id="9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2"/>
      <w:bookmarkEnd w:id="10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</w:t>
      </w:r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член цієї комісії.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3"/>
      <w:bookmarkEnd w:id="10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результат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4"/>
      <w:bookmarkEnd w:id="10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5"/>
      <w:bookmarkEnd w:id="10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оголошення результатів жеребкування.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6"/>
      <w:bookmarkEnd w:id="10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Зарахування до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імназії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7"/>
      <w:bookmarkEnd w:id="10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Зарахування до 5 класу закладу освіти І-ІІ або І-ІІІ ступенів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ідбувається після видання наказу про переведення до нього учнів 4 класу цього самого закладу освіти.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8"/>
      <w:bookmarkEnd w:id="106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9"/>
      <w:bookmarkEnd w:id="10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10"/>
      <w:bookmarkEnd w:id="10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відбору, що організовується і проводиться відповідно до </w:t>
      </w:r>
      <w:hyperlink r:id="rId29" w:anchor="n125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пунктів 2-16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глави 4 цього розділу. У такому випадку оголошення про проведення конкурсного відбору оприлюднюється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01 червня.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1"/>
      <w:bookmarkEnd w:id="10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до 6-9 класів гімназії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 відбувається у порядку надходження заяв про зарахування.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2"/>
      <w:bookmarkEnd w:id="110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30" w:anchor="n46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3"/>
      <w:bookmarkEnd w:id="11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зарахування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 або ІІ-ІІІ ступенів заяви подаються до 31 травня включно.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4"/>
      <w:bookmarkEnd w:id="11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якщо кількість поданих станом на 31 травня заяв не перевищує загальної кількості місць у п’ятому (п’ятих) класі (класах) закладу освіти, конкурсний відбі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проводиться і 01 червня видається наказ про зарахування усіх дітей.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15"/>
      <w:bookmarkEnd w:id="11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якщо кількість поданих станом на 31 травня заяв перевищує загальну кількість місць 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(п’ятих) класі (класах) закладу освіти, до 01 червня включно заклад освіти оприлюднює оголошення про проведення конкурсного відбору, що організовується і проводиться відповідно до пунктів 2-16 глави 4 цього розділу. Конкурс має бути проведений і наказ про зарахування виданий до 15 червня включно.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6"/>
      <w:bookmarkEnd w:id="114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2-16 глави 4 цього розділу.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7"/>
      <w:bookmarkEnd w:id="11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6-9 класів переводяться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 учні 5-8 класів цього самого закладу освіти, які не виявили намір припинити навчання в ньому.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8"/>
      <w:bookmarkEnd w:id="11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до 6-9 класів на вільні місця відбувається за результатами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відбору, що проводиться відповідно до пунктів 2-16 глави 4 цього розділу.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19"/>
      <w:bookmarkEnd w:id="117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20"/>
      <w:bookmarkEnd w:id="11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Діти, зараховані у 2018 і наступних роках до 1 класу закладів освіти з поглибленим вивченням окремих предметів та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ільним навчанням, зараховуються до 5 класу за результатами конкурсного відбору, що проводиться відповідно до пунктів 2-16 глави 4 цього розділу.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1"/>
      <w:bookmarkEnd w:id="11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Зарахування до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іцею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22"/>
      <w:bookmarkEnd w:id="12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Зарахування до 10 класу закладу освіти І-ІІІ або ІІ-ІІІ ступенів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ідбувається після видання наказу про переведення до нього учнів 9 класу цього самого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 На вільні місця (за їх наявності) діти зараховуються за конкурсом відповідно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пунктів 3-16 цієї глави, крім випадку, визначеного пунктом 2 цієї глави.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23"/>
      <w:bookmarkEnd w:id="12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зарахування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ІІІ ступеня заяви про зарахування подаються до 15 червня включно.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ІІІ ступеня зарахування відбувається, як правило, за конкурсом відповідно до пунктів 2-16 цієї глави.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4"/>
      <w:bookmarkEnd w:id="122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31" w:anchor="n46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25"/>
      <w:bookmarkEnd w:id="12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не проводиться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разі, якщо кількість поданих заяв про зарахування станом на 15 червня не перевищує загальної кількості місць у класі (класах) закладу освіти з урахуванням нормативу наповнюваності класів, визначеного </w:t>
      </w:r>
      <w:hyperlink r:id="rId32" w:tgtFrame="_blank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26"/>
      <w:bookmarkEnd w:id="12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випадку наказ про зарахування видається впродовж одного робочого дня,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якого зарахування відбувається на вільні місця у порядку надходження заяв.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27"/>
      <w:bookmarkEnd w:id="12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8"/>
      <w:bookmarkEnd w:id="12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29"/>
      <w:bookmarkEnd w:id="12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 початку та впродовж навчального року можуть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проведені додаткові вступні випробування для зарахування на вільні місця (за їх наявності) у 10-11 (12) класах, що проводяться на загальних засадах (у тому самому порядку і за аналогічними завданнями, що й основні вступні випробування). У такому випадку наказ про зарахування видається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30"/>
      <w:bookmarkEnd w:id="12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вступу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1"/>
      <w:bookmarkEnd w:id="12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вступу та зразки конкурсних завдань для вступних випробувань мають бути оприлюднені на інформаційному стенді закладу освіти та на його веб-сайті (у разі відсутності веб-сайту закладу осві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- на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32"/>
      <w:bookmarkEnd w:id="13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об’єктивності,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івності та неупередженості.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33"/>
      <w:bookmarkEnd w:id="13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таких заходів у заяві мають бути зазначені особливі освітні потреби дитини.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34"/>
      <w:bookmarkEnd w:id="13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проведення конкурсу створюється конкурсна комі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оцінювання результатів конкурсних випробувань - предметні комісії за кожним з предметів. Склад конкурсної і предметних комісій затверджується керівником закладу освіти. Один і той самий педагогічний працівник (крім практичного психолога) не може входити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більше ніж однієї комісії.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35"/>
      <w:bookmarkEnd w:id="133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Види, форми проведення, кількість конкурсних випробувань (але не більше двох), перелік питань з навчальних предметів, за якими проводитимуться випробування, а також </w:t>
      </w:r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36"/>
      <w:bookmarkEnd w:id="13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Вступні випробування мають бути спрямовані виключно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ірку результатів навчання, визначених державними стандартами початкової та базової середньої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37"/>
      <w:bookmarkEnd w:id="13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Конкурсні випробування проводяться в усній, письмовій та/або з використанням цифрових технологій формах (тестування,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комп’ютерне, диктант, письмова робота, усне опитування за білетами, захист творчих робіт, співбесіда тощо).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38"/>
      <w:bookmarkEnd w:id="13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Забороняється вимагати від учнів характеристики з попереднього місця навчання, довідки з місця роботи батькі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інші документи, не передбачені цим Порядком. Конкурсні випробування здійснюються на безоплатній основі.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39"/>
      <w:bookmarkEnd w:id="13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Вступні випробування з одного навчального предмета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усіх вступників мають відбуватися, як правило, в один день.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40"/>
      <w:bookmarkEnd w:id="13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допускається застосовувати ті самі варіанти завдань для випробувань, що відбуваються 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дні.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41"/>
      <w:bookmarkEnd w:id="13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ідповідної комісії, зберігаються у закладі освіти не менше одного року.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42"/>
      <w:bookmarkEnd w:id="14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Результати усного випробування оголошуються в той самий день, письмового, цифрового - 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ніж через три робочих дні після його проведення.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43"/>
      <w:bookmarkEnd w:id="14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які брали участь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44"/>
      <w:bookmarkEnd w:id="14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учасникі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із виставленими балами оприлюднюються у приміщенні закладу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45"/>
      <w:bookmarkEnd w:id="14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Учасник конкурсу (чи один із батьків), який не згоден з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46"/>
      <w:bookmarkEnd w:id="14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розгляду апеляційної скарги забороняється.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47"/>
      <w:bookmarkEnd w:id="14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Апеляційна комі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148"/>
      <w:bookmarkEnd w:id="14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залишити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конкурсної комісії без змін;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49"/>
      <w:bookmarkEnd w:id="14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змінити чи анулювати результати оцінювання учасника (учасників);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50"/>
      <w:bookmarkEnd w:id="14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визнати результати конкурсу недійсними.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n151"/>
      <w:bookmarkEnd w:id="14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випадку визнання результаті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недійсними орган, у сфері управління якого перебуває відповідний заклад освіти, зобов’язаний організувати конкурс повторно.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152"/>
      <w:bookmarkEnd w:id="15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Особа має право брати участь у конкурсах, що проводяться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ізними закладами освіти. У разі якщо особа визнана переможцем у декількох закладах освіти, вона зараховується до того з них, до якого надала оригінал документа про освіту та інші, визначені цим Порядком, документи впродовж п’яти робочих днів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оголошення результатів конкурсу у відповідному закладі, але не пізніше 31 серпня.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53"/>
      <w:bookmarkEnd w:id="15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Керівник закладу освіти зобов’язаний забезпечити організацію та проведення конкурсу з дотриманням вимог цього Порядку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n154"/>
      <w:bookmarkEnd w:id="15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ІІІ. Переведення учнів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іж закладами освіти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55"/>
      <w:bookmarkEnd w:id="15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ільній формі, у тому числі шляхом надсилання його сканованої копії електронною поштою.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56"/>
      <w:bookmarkEnd w:id="15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Керівник закладу освіти упродовж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 можливість чи неможливість зарахування учня до цього класу.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57"/>
      <w:bookmarkEnd w:id="15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письмовому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ідтвердженні можливості зарахування дитини має бути зазначений кінцевий термін для подання заяви про переведення та особової справи учня.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58"/>
      <w:bookmarkEnd w:id="15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освіти, з якого переводиться учень, подаються: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59"/>
      <w:bookmarkEnd w:id="15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про переведення одного з батьків учня (для учні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не досягли повноліття) або учня;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60"/>
      <w:bookmarkEnd w:id="15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письмове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161"/>
      <w:bookmarkEnd w:id="15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Упродовж одного робочого дня з дня отримання відповідних документів керівник закладу освіти зобов’язаний видати наказ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відрахування учня для переведення до іншого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видати особову справу учня.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62"/>
      <w:bookmarkEnd w:id="16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Упродовж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63"/>
      <w:bookmarkEnd w:id="16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про зарахування;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64"/>
      <w:bookmarkEnd w:id="16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особову справу учня.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65"/>
      <w:bookmarkEnd w:id="163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66"/>
      <w:bookmarkEnd w:id="164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ІV. Відрахування учнів із закладів освіти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n167"/>
      <w:bookmarkEnd w:id="16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Із закладу освіти відраховуються учні, які: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68"/>
      <w:bookmarkEnd w:id="166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69"/>
      <w:bookmarkEnd w:id="167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n170"/>
      <w:bookmarkEnd w:id="168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переводяться до іншого закладу освіти відповідно до </w:t>
      </w:r>
      <w:hyperlink r:id="rId33" w:anchor="n154" w:history="1">
        <w:r w:rsidRPr="008B4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ІІІ</w:t>
        </w:r>
      </w:hyperlink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Порядку;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n171"/>
      <w:bookmarkEnd w:id="169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вибувають на постійне місце проживання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межі України.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172"/>
      <w:bookmarkEnd w:id="170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Відрахування із зазначених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здійснюється шляхом видання відповідного наказу керівником закладу освіти.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173"/>
      <w:bookmarkEnd w:id="171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відрахування учнів з числа дітей-сиріт та дітей, позбавлених батьківського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іклування, з причин, визначених підпунктами 3, 4 цього пункту, заклад освіти, з якого 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74"/>
      <w:bookmarkEnd w:id="172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педагогічної ради та відповідно до наказу керівника можуть бути відраховані (чи переведені на іншу (крім денної) форму здобуття загальної середньої освіти у цьому самому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175"/>
      <w:bookmarkEnd w:id="173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можливого відрахування.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76"/>
      <w:bookmarkEnd w:id="174"/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8B4CED" w:rsidRPr="008B4CED" w:rsidRDefault="008B4CED" w:rsidP="008B4C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177"/>
      <w:bookmarkEnd w:id="175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4CE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завершення останнього класу ліцею, відповідно до рішення педагогічної ради можуть бути відраховані із закладу освіти або переведені на іншу (крім денної) форму здобуття освіти в цьому самому або іншому закладі освіти.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8B4CED" w:rsidRPr="008B4CED" w:rsidTr="008B4CED">
        <w:tc>
          <w:tcPr>
            <w:tcW w:w="5000" w:type="pct"/>
            <w:tcBorders>
              <w:top w:val="nil"/>
              <w:bottom w:val="nil"/>
            </w:tcBorders>
            <w:hideMark/>
          </w:tcPr>
          <w:p w:rsidR="008B4CED" w:rsidRPr="008B4CED" w:rsidRDefault="008B4CED" w:rsidP="008B4CED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n178"/>
            <w:bookmarkEnd w:id="176"/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Ю.Г. Кононенко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загальної середньої </w:t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дошкільної освіти</w:t>
            </w:r>
          </w:p>
          <w:p w:rsidR="008B4CED" w:rsidRPr="008B4CED" w:rsidRDefault="008B4CED" w:rsidP="008B4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B4CED" w:rsidRDefault="008B4CED" w:rsidP="008B4CED">
      <w:pPr>
        <w:spacing w:after="0" w:line="240" w:lineRule="auto"/>
        <w:ind w:firstLine="426"/>
        <w:jc w:val="both"/>
      </w:pPr>
    </w:p>
    <w:sectPr w:rsidR="008B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8B4CED"/>
    <w:rsid w:val="008B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4CED"/>
  </w:style>
  <w:style w:type="paragraph" w:customStyle="1" w:styleId="rvps7">
    <w:name w:val="rvps7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B4CED"/>
  </w:style>
  <w:style w:type="paragraph" w:customStyle="1" w:styleId="rvps14">
    <w:name w:val="rvps14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B4CED"/>
  </w:style>
  <w:style w:type="paragraph" w:customStyle="1" w:styleId="rvps2">
    <w:name w:val="rvps2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CED"/>
    <w:rPr>
      <w:color w:val="0000FF"/>
      <w:u w:val="single"/>
    </w:rPr>
  </w:style>
  <w:style w:type="character" w:customStyle="1" w:styleId="rvts52">
    <w:name w:val="rvts52"/>
    <w:basedOn w:val="a0"/>
    <w:rsid w:val="008B4CED"/>
  </w:style>
  <w:style w:type="paragraph" w:customStyle="1" w:styleId="rvps4">
    <w:name w:val="rvps4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B4CED"/>
  </w:style>
  <w:style w:type="paragraph" w:customStyle="1" w:styleId="rvps15">
    <w:name w:val="rvps15"/>
    <w:basedOn w:val="a"/>
    <w:rsid w:val="008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B4CED"/>
  </w:style>
  <w:style w:type="paragraph" w:styleId="a4">
    <w:name w:val="Balloon Text"/>
    <w:basedOn w:val="a"/>
    <w:link w:val="a5"/>
    <w:uiPriority w:val="99"/>
    <w:semiHidden/>
    <w:unhideWhenUsed/>
    <w:rsid w:val="008B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file/z0564-18" TargetMode="External"/><Relationship Id="rId18" Type="http://schemas.openxmlformats.org/officeDocument/2006/relationships/hyperlink" Target="https://zakon.rada.gov.ua/laws/file/z0564-18" TargetMode="External"/><Relationship Id="rId26" Type="http://schemas.openxmlformats.org/officeDocument/2006/relationships/hyperlink" Target="https://zakon.rada.gov.ua/laws/file/z0564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file/z0564-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z0547-03" TargetMode="External"/><Relationship Id="rId12" Type="http://schemas.openxmlformats.org/officeDocument/2006/relationships/hyperlink" Target="https://zakon.rada.gov.ua/laws/show/z0794-10" TargetMode="External"/><Relationship Id="rId17" Type="http://schemas.openxmlformats.org/officeDocument/2006/relationships/hyperlink" Target="https://zakon.rada.gov.ua/laws/file/z0564-18" TargetMode="External"/><Relationship Id="rId25" Type="http://schemas.openxmlformats.org/officeDocument/2006/relationships/hyperlink" Target="https://zakon.rada.gov.ua/laws/file/z0564-18" TargetMode="External"/><Relationship Id="rId33" Type="http://schemas.openxmlformats.org/officeDocument/2006/relationships/hyperlink" Target="https://zakon.rada.gov.ua/laws/file/z0564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file/z0564-18" TargetMode="External"/><Relationship Id="rId29" Type="http://schemas.openxmlformats.org/officeDocument/2006/relationships/hyperlink" Target="https://zakon.rada.gov.ua/laws/file/z0564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z0564-18" TargetMode="External"/><Relationship Id="rId11" Type="http://schemas.openxmlformats.org/officeDocument/2006/relationships/hyperlink" Target="https://zakon.rada.gov.ua/laws/file/z0564-18" TargetMode="External"/><Relationship Id="rId24" Type="http://schemas.openxmlformats.org/officeDocument/2006/relationships/hyperlink" Target="https://zakon.rada.gov.ua/laws/file/z0564-18" TargetMode="External"/><Relationship Id="rId32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651-14" TargetMode="External"/><Relationship Id="rId15" Type="http://schemas.openxmlformats.org/officeDocument/2006/relationships/hyperlink" Target="https://zakon.rada.gov.ua/laws/show/651-14" TargetMode="External"/><Relationship Id="rId23" Type="http://schemas.openxmlformats.org/officeDocument/2006/relationships/hyperlink" Target="https://zakon.rada.gov.ua/laws/file/z0564-18" TargetMode="External"/><Relationship Id="rId28" Type="http://schemas.openxmlformats.org/officeDocument/2006/relationships/hyperlink" Target="https://zakon.rada.gov.ua/laws/file/z0564-18" TargetMode="External"/><Relationship Id="rId10" Type="http://schemas.openxmlformats.org/officeDocument/2006/relationships/hyperlink" Target="https://zakon.rada.gov.ua/laws/show/651-14" TargetMode="External"/><Relationship Id="rId19" Type="http://schemas.openxmlformats.org/officeDocument/2006/relationships/hyperlink" Target="https://zakon.rada.gov.ua/laws/file/z0564-18" TargetMode="External"/><Relationship Id="rId31" Type="http://schemas.openxmlformats.org/officeDocument/2006/relationships/hyperlink" Target="https://zakon.rada.gov.ua/laws/file/z0564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z0416-17" TargetMode="External"/><Relationship Id="rId22" Type="http://schemas.openxmlformats.org/officeDocument/2006/relationships/hyperlink" Target="https://zakon.rada.gov.ua/laws/file/z0564-18" TargetMode="External"/><Relationship Id="rId27" Type="http://schemas.openxmlformats.org/officeDocument/2006/relationships/hyperlink" Target="https://zakon.rada.gov.ua/laws/show/2297-17" TargetMode="External"/><Relationship Id="rId30" Type="http://schemas.openxmlformats.org/officeDocument/2006/relationships/hyperlink" Target="https://zakon.rada.gov.ua/laws/file/z0564-1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5255</Words>
  <Characters>29957</Characters>
  <Application>Microsoft Office Word</Application>
  <DocSecurity>0</DocSecurity>
  <Lines>249</Lines>
  <Paragraphs>70</Paragraphs>
  <ScaleCrop>false</ScaleCrop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2020-06-02T07:47:00Z</dcterms:created>
  <dcterms:modified xsi:type="dcterms:W3CDTF">2020-06-02T07:54:00Z</dcterms:modified>
</cp:coreProperties>
</file>