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86" w:rsidRPr="007D0186" w:rsidRDefault="007D0186" w:rsidP="007D0186">
      <w:pPr>
        <w:spacing w:after="0" w:line="240" w:lineRule="auto"/>
        <w:rPr>
          <w:rFonts w:ascii="ProximaNova" w:eastAsia="Times New Roman" w:hAnsi="ProximaNova" w:cs="Times New Roman"/>
          <w:b/>
          <w:color w:val="FF0000"/>
          <w:sz w:val="32"/>
          <w:szCs w:val="32"/>
          <w:u w:val="single"/>
          <w:lang w:eastAsia="uk-UA"/>
        </w:rPr>
      </w:pPr>
      <w:r w:rsidRPr="007D0186">
        <w:rPr>
          <w:rFonts w:ascii="ProximaNova" w:eastAsia="Times New Roman" w:hAnsi="ProximaNova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uk-UA"/>
        </w:rPr>
        <w:t xml:space="preserve">Міністерство цифрової трансформації у партнерстві з ЮНІСЕФ розробило освітній серіал про </w:t>
      </w:r>
      <w:proofErr w:type="spellStart"/>
      <w:r w:rsidRPr="007D0186">
        <w:rPr>
          <w:rFonts w:ascii="ProximaNova" w:eastAsia="Times New Roman" w:hAnsi="ProximaNova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uk-UA"/>
        </w:rPr>
        <w:t xml:space="preserve"> для підлітків.</w:t>
      </w:r>
    </w:p>
    <w:p w:rsidR="007D0186" w:rsidRPr="007D0186" w:rsidRDefault="007D0186" w:rsidP="007D018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Безкоштовно подивитися його можна за </w:t>
      </w:r>
      <w:hyperlink r:id="rId6" w:tgtFrame="_blank" w:history="1">
        <w:r w:rsidRPr="007D0186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t>цим посиланням</w:t>
        </w:r>
      </w:hyperlink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7D0186" w:rsidRPr="007D0186" w:rsidRDefault="007D0186" w:rsidP="007D018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Серіал </w:t>
      </w:r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складається з чотирьох серій по 4-5 хвилин</w:t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та розповідає про таке:</w:t>
      </w:r>
    </w:p>
    <w:p w:rsidR="007D0186" w:rsidRPr="007D0186" w:rsidRDefault="007D0186" w:rsidP="007D0186">
      <w:pPr>
        <w:numPr>
          <w:ilvl w:val="0"/>
          <w:numId w:val="1"/>
        </w:numPr>
        <w:spacing w:after="0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який вигляд має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1"/>
        </w:numPr>
        <w:spacing w:after="0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які причини та потенційні наслідки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1"/>
        </w:numPr>
        <w:spacing w:after="0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як припинити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1"/>
        </w:numPr>
        <w:spacing w:after="0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що робити, якщо хтось із друзів став жертвою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</w:t>
      </w:r>
    </w:p>
    <w:p w:rsidR="007D0186" w:rsidRDefault="007D0186" w:rsidP="007D0186">
      <w:pPr>
        <w:spacing w:after="0"/>
        <w:rPr>
          <w:rFonts w:eastAsia="Times New Roman" w:cs="Times New Roman"/>
          <w:b/>
          <w:color w:val="010101"/>
          <w:sz w:val="30"/>
          <w:szCs w:val="30"/>
          <w:lang w:eastAsia="uk-UA"/>
        </w:rPr>
      </w:pPr>
      <w:hyperlink r:id="rId7" w:history="1">
        <w:r w:rsidRPr="007D0186">
          <w:rPr>
            <w:rStyle w:val="a3"/>
            <w:rFonts w:ascii="ProximaNova" w:eastAsia="Times New Roman" w:hAnsi="ProximaNova" w:cs="Times New Roman"/>
            <w:b/>
            <w:sz w:val="30"/>
            <w:szCs w:val="30"/>
            <w:lang w:eastAsia="uk-UA"/>
          </w:rPr>
          <w:t>https://www.youtube.com/watch?v=uQxPlORS834&amp;feature=emb_title</w:t>
        </w:r>
      </w:hyperlink>
    </w:p>
    <w:p w:rsidR="007D0186" w:rsidRDefault="007D0186" w:rsidP="007D0186">
      <w:pPr>
        <w:spacing w:after="0"/>
        <w:rPr>
          <w:rFonts w:eastAsia="Times New Roman" w:cs="Times New Roman"/>
          <w:b/>
          <w:color w:val="010101"/>
          <w:sz w:val="30"/>
          <w:szCs w:val="30"/>
          <w:lang w:eastAsia="uk-UA"/>
        </w:rPr>
      </w:pPr>
    </w:p>
    <w:p w:rsidR="007D0186" w:rsidRPr="007D0186" w:rsidRDefault="007D0186" w:rsidP="007D0186">
      <w:pPr>
        <w:spacing w:after="0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У відео показують як:</w:t>
      </w:r>
    </w:p>
    <w:p w:rsidR="007D0186" w:rsidRPr="007D0186" w:rsidRDefault="007D0186" w:rsidP="007D0186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правильно реагувати на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протистояти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хейту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та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тролінгу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допомогти друзям-жертвам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припинити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;</w:t>
      </w:r>
    </w:p>
    <w:p w:rsidR="007D0186" w:rsidRPr="007D0186" w:rsidRDefault="007D0186" w:rsidP="007D0186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зупинити цькування.</w:t>
      </w:r>
    </w:p>
    <w:p w:rsidR="007D0186" w:rsidRPr="007D0186" w:rsidRDefault="007D0186" w:rsidP="007D0186">
      <w:pPr>
        <w:spacing w:after="375" w:line="240" w:lineRule="auto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Нагадаємо, в Україні створили три анімації про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засновані на реальних історіях дітей.</w:t>
      </w:r>
    </w:p>
    <w:p w:rsidR="007D0186" w:rsidRPr="007D0186" w:rsidRDefault="007D0186" w:rsidP="007D0186">
      <w:pPr>
        <w:spacing w:after="0" w:line="240" w:lineRule="auto"/>
        <w:jc w:val="center"/>
        <w:rPr>
          <w:rFonts w:ascii="ProximaNova" w:eastAsia="Times New Roman" w:hAnsi="ProximaNova" w:cs="Times New Roman"/>
          <w:b/>
          <w:i/>
          <w:color w:val="FF0000"/>
          <w:sz w:val="32"/>
          <w:szCs w:val="32"/>
          <w:u w:val="single"/>
          <w:lang w:eastAsia="uk-UA"/>
        </w:rPr>
      </w:pPr>
      <w:hyperlink r:id="rId8" w:tgtFrame="_blank" w:history="1">
        <w:r w:rsidRPr="007D0186">
          <w:rPr>
            <w:rFonts w:ascii="ProximaNova" w:eastAsia="Times New Roman" w:hAnsi="ProximaNova" w:cs="Times New Roman"/>
            <w:b/>
            <w:i/>
            <w:color w:val="FF0000"/>
            <w:sz w:val="32"/>
            <w:szCs w:val="32"/>
            <w:u w:val="single"/>
            <w:bdr w:val="none" w:sz="0" w:space="0" w:color="auto" w:frame="1"/>
            <w:lang w:eastAsia="uk-UA"/>
          </w:rPr>
          <w:t xml:space="preserve">“Не ігнорувати і не забороняти: як захистити дітей від </w:t>
        </w:r>
        <w:proofErr w:type="spellStart"/>
        <w:r w:rsidRPr="007D0186">
          <w:rPr>
            <w:rFonts w:ascii="ProximaNova" w:eastAsia="Times New Roman" w:hAnsi="ProximaNova" w:cs="Times New Roman"/>
            <w:b/>
            <w:i/>
            <w:color w:val="FF0000"/>
            <w:sz w:val="32"/>
            <w:szCs w:val="32"/>
            <w:u w:val="single"/>
            <w:bdr w:val="none" w:sz="0" w:space="0" w:color="auto" w:frame="1"/>
            <w:lang w:eastAsia="uk-UA"/>
          </w:rPr>
          <w:t>кібербулінгу</w:t>
        </w:r>
        <w:proofErr w:type="spellEnd"/>
        <w:r w:rsidRPr="007D0186">
          <w:rPr>
            <w:rFonts w:ascii="ProximaNova" w:eastAsia="Times New Roman" w:hAnsi="ProximaNova" w:cs="Times New Roman"/>
            <w:b/>
            <w:i/>
            <w:color w:val="FF0000"/>
            <w:sz w:val="32"/>
            <w:szCs w:val="32"/>
            <w:u w:val="single"/>
            <w:bdr w:val="none" w:sz="0" w:space="0" w:color="auto" w:frame="1"/>
            <w:lang w:eastAsia="uk-UA"/>
          </w:rPr>
          <w:t>”</w:t>
        </w:r>
      </w:hyperlink>
    </w:p>
    <w:p w:rsidR="007D0186" w:rsidRPr="007D0186" w:rsidRDefault="007D0186" w:rsidP="007D0186">
      <w:pPr>
        <w:spacing w:after="0"/>
        <w:jc w:val="center"/>
        <w:rPr>
          <w:rFonts w:eastAsia="Times New Roman" w:cs="Times New Roman"/>
          <w:b/>
          <w:i/>
          <w:color w:val="FF0000"/>
          <w:sz w:val="32"/>
          <w:szCs w:val="32"/>
          <w:u w:val="single"/>
          <w:lang w:eastAsia="uk-UA"/>
        </w:rPr>
      </w:pP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Цифрові технології створюють можливості для спілкування, самоосвіти, свободи вираження поглядів тощо. Та окрім можливостей, це супроводжується ризиками дотримання прав людини. Вразливі до таких ризиків – насамперед діти.</w:t>
      </w:r>
    </w:p>
    <w:p w:rsidR="007D0186" w:rsidRPr="007D0186" w:rsidRDefault="007D0186" w:rsidP="007D0186">
      <w:pPr>
        <w:spacing w:after="375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Перебуваючи у віртуальному світі, вони можуть не знати про правила безпеки в інтернеті, а також про загрози та реальність їх наслідків. А тому – можуть опинитися в ситуації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(знущання, приниження, агресивні напади, які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здійснюють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за допомогою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гаджетів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зокрема телефонів, із використанням інтернету).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За даними </w:t>
      </w:r>
      <w:hyperlink r:id="rId9" w:tgtFrame="_blank" w:history="1">
        <w:r w:rsidRPr="007D0186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t>дослідження</w:t>
        </w:r>
      </w:hyperlink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проведеного дитячим фондом ООН (ЮНІСЕФ) у 2018 році, серед 10-17-річних українців кожен п’ятий підліток визнає себе жертвою онлайн-знущань.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lastRenderedPageBreak/>
        <w:t>У нашому законодавстві є визначення поняття “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fldChar w:fldCharType="begin"/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instrText xml:space="preserve"> HYPERLINK "https://nus.org.ua/questions/shho-potribno-znaty-pro-antybulingovyj-zakon/" \t "_blank" </w:instrText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fldChar w:fldCharType="separate"/>
      </w:r>
      <w:r w:rsidRPr="007D0186">
        <w:rPr>
          <w:rFonts w:ascii="ProximaNova" w:eastAsia="Times New Roman" w:hAnsi="ProximaNova" w:cs="Times New Roman"/>
          <w:color w:val="A9C248"/>
          <w:sz w:val="30"/>
          <w:szCs w:val="30"/>
          <w:bdr w:val="none" w:sz="0" w:space="0" w:color="auto" w:frame="1"/>
          <w:lang w:eastAsia="uk-UA"/>
        </w:rPr>
        <w:t>булінг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fldChar w:fldCharType="end"/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” та передбачено адміністративну відповідальність за це. Але діти залишаються вразливими в ситуації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Тобто, єдиного рішення, як протидіяти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поки немає. Хоча створення безпечного інформаційного простору для дітей є в пріоритетах </w:t>
      </w:r>
      <w:hyperlink r:id="rId10" w:tgtFrame="_blank" w:history="1">
        <w:r w:rsidRPr="007D0186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t>Державної соціальної програми</w:t>
        </w:r>
      </w:hyperlink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“Національний план дій щодо реалізації Конвенції ООН про права дитини” на період до 2021 року.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може набирати різних форм: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флеймінг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(обмін короткими гнівними і запальними репліками між двома чи більше учасниками),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тролінг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ізоляція,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секстинг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кіберпереслідування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тощо. Більше інформації про види цькування в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онлайні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та як із цим впоратися, зібрано в інформаційному буклеті Кампанії проти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яким можна користуватися онлайн на </w:t>
      </w:r>
      <w:hyperlink r:id="rId11" w:tgtFrame="_blank" w:history="1">
        <w:r w:rsidRPr="007D0186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t>цьому сайті</w:t>
        </w:r>
      </w:hyperlink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Як батькам психологічно допомогти дитині, яка опинилась у ситуації </w:t>
      </w:r>
      <w:proofErr w:type="spellStart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?</w:t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Ось 5 порад від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докторки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психологічних наук, професорки, президентки Асоціації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медіапсихологів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та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медіапедагогів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України Любові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Найдьонової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:</w:t>
      </w:r>
    </w:p>
    <w:p w:rsidR="007D0186" w:rsidRPr="007D0186" w:rsidRDefault="007D0186" w:rsidP="007D0186">
      <w:pPr>
        <w:numPr>
          <w:ilvl w:val="0"/>
          <w:numId w:val="3"/>
        </w:numPr>
        <w:spacing w:after="600" w:line="240" w:lineRule="auto"/>
        <w:ind w:left="0" w:right="900" w:firstLine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Зберігайте спокій і впевненість, що проблему можна вирішити спільними зусиллями.</w:t>
      </w:r>
    </w:p>
    <w:p w:rsidR="007D0186" w:rsidRPr="007D0186" w:rsidRDefault="007D0186" w:rsidP="007D0186">
      <w:pPr>
        <w:numPr>
          <w:ilvl w:val="0"/>
          <w:numId w:val="3"/>
        </w:numPr>
        <w:spacing w:after="0" w:line="240" w:lineRule="auto"/>
        <w:ind w:left="0" w:right="900" w:firstLine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намагайтеся знецінити хвилювання дитини (</w:t>
      </w:r>
      <w:r w:rsidRPr="007D018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“що це за проблема?”</w:t>
      </w: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, “не переймайся,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минеться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” тощо). Підтримайте дитину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емоційно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і запевніть, що разом ви все подолаєте.</w:t>
      </w:r>
    </w:p>
    <w:p w:rsidR="007D0186" w:rsidRPr="007D0186" w:rsidRDefault="007D0186" w:rsidP="007D0186">
      <w:pPr>
        <w:numPr>
          <w:ilvl w:val="0"/>
          <w:numId w:val="3"/>
        </w:numPr>
        <w:spacing w:after="0" w:line="240" w:lineRule="auto"/>
        <w:ind w:left="0" w:right="900" w:firstLine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Не забороняйте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гаджети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,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соцмережі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тощо. Часто це найперше, що спадає на думку батькам (</w:t>
      </w:r>
      <w:r w:rsidRPr="007D018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“нема інтернету – нема проблеми”</w:t>
      </w: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). Але можна домовитися з дитиною про те, щоб тимчасово не заходити в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соцмережі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щоб додатково не засмучуватися.</w:t>
      </w:r>
    </w:p>
    <w:p w:rsidR="007D0186" w:rsidRPr="007D0186" w:rsidRDefault="007D0186" w:rsidP="007D0186">
      <w:pPr>
        <w:numPr>
          <w:ilvl w:val="0"/>
          <w:numId w:val="3"/>
        </w:numPr>
        <w:spacing w:after="600" w:line="240" w:lineRule="auto"/>
        <w:ind w:left="0" w:right="900" w:firstLine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Батьки можуть допомогти й підказати, як можна переключитися, відволіктися, розслабитися, заспокоїтися, мобілізуватися. Це можуть бути і фізичні навантаження, які здатні “спалювати” емоції.</w:t>
      </w:r>
    </w:p>
    <w:p w:rsidR="007D0186" w:rsidRPr="007D0186" w:rsidRDefault="007D0186" w:rsidP="007D0186">
      <w:pPr>
        <w:numPr>
          <w:ilvl w:val="0"/>
          <w:numId w:val="3"/>
        </w:numPr>
        <w:spacing w:after="600" w:line="240" w:lineRule="auto"/>
        <w:ind w:left="0" w:right="900" w:firstLine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Якщо емоції дуже сильні, і звичайних побутових способів боротьби з ними не вистачає, консультуйтеся із психологами. Психологічна підтримка важлива у випадку будь-якого з видів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, але є й такі види </w:t>
      </w:r>
      <w:proofErr w:type="spellStart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, де лише саморегуляцією не обійтися.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lastRenderedPageBreak/>
        <w:t xml:space="preserve">Інтернет має розважати і розвивати, а не загрожувати. На цьому наголошує Всеукраїнська Кампанія проти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Docudays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UA. Щоб привернути увагу до проблеми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батьків та дітей, </w:t>
      </w:r>
      <w:proofErr w:type="spellStart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телеведуча</w:t>
      </w:r>
      <w:proofErr w:type="spellEnd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Марічка Падалко</w:t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 </w:t>
      </w:r>
      <w:proofErr w:type="spellStart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фронтвумен</w:t>
      </w:r>
      <w:proofErr w:type="spellEnd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</w:t>
      </w:r>
      <w:proofErr w:type="spellStart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The</w:t>
      </w:r>
      <w:proofErr w:type="spellEnd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 xml:space="preserve"> HARDKISS Юлія </w:t>
      </w:r>
      <w:proofErr w:type="spellStart"/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Саніна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та </w:t>
      </w:r>
      <w:r w:rsidRPr="007D0186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освітянин Ігор Хворостяний</w:t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підтримали кампанію.</w:t>
      </w:r>
    </w:p>
    <w:p w:rsidR="007D0186" w:rsidRPr="007D0186" w:rsidRDefault="007D0186" w:rsidP="007D0186">
      <w:pPr>
        <w:spacing w:after="375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Вони закликали батьків не бути байдужими, якщо у їхніх дітей виникають проблеми в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онлайні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та звертатися за фаховою допомогою в ситуації </w:t>
      </w:r>
      <w:proofErr w:type="spellStart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кібербулінгу</w:t>
      </w:r>
      <w:proofErr w:type="spellEnd"/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7D0186" w:rsidRPr="007D0186" w:rsidRDefault="007D0186" w:rsidP="007D0186">
      <w:pPr>
        <w:spacing w:after="0" w:line="240" w:lineRule="auto"/>
        <w:ind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7D018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 xml:space="preserve">“Якщо дорослі здатні давати раду цькуванню в </w:t>
      </w:r>
      <w:proofErr w:type="spellStart"/>
      <w:r w:rsidRPr="007D018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онлайні</w:t>
      </w:r>
      <w:proofErr w:type="spellEnd"/>
      <w:r w:rsidRPr="007D0186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uk-UA"/>
        </w:rPr>
        <w:t>, то діти значно вразливіші в мережі. Вони сприймають віртуальний світ реально і залишаються беззахисними та безпорадними перед його беззаконням”</w:t>
      </w:r>
      <w:r w:rsidRPr="007D0186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– каже Марічка Падалко.</w:t>
      </w:r>
    </w:p>
    <w:p w:rsidR="007D0186" w:rsidRDefault="007D0186" w:rsidP="007D0186">
      <w:hyperlink r:id="rId12" w:history="1">
        <w:r w:rsidRPr="007D0186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br/>
        </w:r>
      </w:hyperlink>
      <w:r>
        <w:rPr>
          <w:noProof/>
          <w:lang w:eastAsia="uk-UA"/>
        </w:rPr>
        <w:drawing>
          <wp:inline distT="0" distB="0" distL="0" distR="0" wp14:anchorId="412E5200" wp14:editId="1C0C7E09">
            <wp:extent cx="6120765" cy="4082550"/>
            <wp:effectExtent l="0" t="0" r="0" b="0"/>
            <wp:docPr id="1" name="Рисунок 1" descr="https://nus.org.ua/wp-content/uploads/2019/11/Screen-Shot-2019-09-30-at-17.47.13-kopy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.org.ua/wp-content/uploads/2019/11/Screen-Shot-2019-09-30-at-17.47.13-kopyy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C4" w:rsidRDefault="007D0186" w:rsidP="007D0186">
      <w:pPr>
        <w:rPr>
          <w:rStyle w:val="a6"/>
          <w:color w:val="010101"/>
          <w:sz w:val="30"/>
          <w:szCs w:val="30"/>
          <w:bdr w:val="none" w:sz="0" w:space="0" w:color="auto" w:frame="1"/>
        </w:rPr>
      </w:pPr>
      <w:r>
        <w:rPr>
          <w:rFonts w:ascii="ProximaNova" w:hAnsi="ProximaNova"/>
          <w:color w:val="141414"/>
          <w:sz w:val="30"/>
          <w:szCs w:val="30"/>
        </w:rPr>
        <w:t xml:space="preserve">Юлія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Саніна</w:t>
      </w:r>
      <w:proofErr w:type="spellEnd"/>
      <w:r>
        <w:rPr>
          <w:rFonts w:ascii="ProximaNova" w:hAnsi="ProximaNova"/>
          <w:color w:val="141414"/>
          <w:sz w:val="30"/>
          <w:szCs w:val="30"/>
        </w:rPr>
        <w:t xml:space="preserve"> радить батькам пояснити дитині, що не слід сприймати близько до серця коментарі в інтернеті: </w:t>
      </w:r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“Мало хто наважиться повторити цю маячню в обличчя. Якщо ж агресія стає серйознішою, дитина повинна мати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прихисток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, де її зрозуміють та допоможуть”.</w:t>
      </w:r>
    </w:p>
    <w:p w:rsidR="007D0186" w:rsidRDefault="007D0186" w:rsidP="007D0186">
      <w:pPr>
        <w:rPr>
          <w:rStyle w:val="a6"/>
          <w:color w:val="010101"/>
          <w:sz w:val="30"/>
          <w:szCs w:val="30"/>
          <w:bdr w:val="none" w:sz="0" w:space="0" w:color="auto" w:frame="1"/>
        </w:rPr>
      </w:pPr>
    </w:p>
    <w:p w:rsidR="007D0186" w:rsidRDefault="007D0186" w:rsidP="007D0186">
      <w:pPr>
        <w:rPr>
          <w:rStyle w:val="a6"/>
          <w:color w:val="010101"/>
          <w:sz w:val="30"/>
          <w:szCs w:val="30"/>
          <w:bdr w:val="none" w:sz="0" w:space="0" w:color="auto" w:frame="1"/>
        </w:rPr>
      </w:pPr>
    </w:p>
    <w:p w:rsidR="007D0186" w:rsidRDefault="007D0186" w:rsidP="007D0186">
      <w:r>
        <w:rPr>
          <w:noProof/>
          <w:lang w:eastAsia="uk-UA"/>
        </w:rPr>
        <w:lastRenderedPageBreak/>
        <w:drawing>
          <wp:inline distT="0" distB="0" distL="0" distR="0" wp14:anchorId="0DFC3554" wp14:editId="7387449C">
            <wp:extent cx="6120765" cy="4584453"/>
            <wp:effectExtent l="0" t="0" r="0" b="6985"/>
            <wp:docPr id="2" name="Рисунок 2" descr="https://nus.org.ua/wp-content/uploads/2019/11/Screen-Shot-2019-09-30-at-17.47.30-kopy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s.org.ua/wp-content/uploads/2019/11/Screen-Shot-2019-09-30-at-17.47.30-kopyy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86" w:rsidRDefault="007D0186" w:rsidP="007D0186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C32E0B8" wp14:editId="36E3CF15">
            <wp:simplePos x="0" y="0"/>
            <wp:positionH relativeFrom="column">
              <wp:posOffset>338455</wp:posOffset>
            </wp:positionH>
            <wp:positionV relativeFrom="paragraph">
              <wp:posOffset>1336675</wp:posOffset>
            </wp:positionV>
            <wp:extent cx="5436235" cy="3609975"/>
            <wp:effectExtent l="0" t="0" r="0" b="9525"/>
            <wp:wrapNone/>
            <wp:docPr id="3" name="Рисунок 3" descr="https://nus.org.ua/wp-content/uploads/2019/11/Screen-Shot-2019-09-30-at-17.46.45-kopy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us.org.ua/wp-content/uploads/2019/11/Screen-Shot-2019-09-30-at-17.46.45-kopyya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Nova" w:hAnsi="ProximaNova"/>
          <w:color w:val="141414"/>
          <w:sz w:val="30"/>
          <w:szCs w:val="30"/>
        </w:rPr>
        <w:t xml:space="preserve">Ігор Хворостяний у своїй педагогічній практиці зіштовхувався і з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булінгом</w:t>
      </w:r>
      <w:proofErr w:type="spellEnd"/>
      <w:r>
        <w:rPr>
          <w:rFonts w:ascii="ProximaNova" w:hAnsi="ProximaNova"/>
          <w:color w:val="141414"/>
          <w:sz w:val="30"/>
          <w:szCs w:val="30"/>
        </w:rPr>
        <w:t xml:space="preserve">, і з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кібербулінгом</w:t>
      </w:r>
      <w:proofErr w:type="spellEnd"/>
      <w:r>
        <w:rPr>
          <w:rFonts w:ascii="ProximaNova" w:hAnsi="ProximaNova"/>
          <w:color w:val="141414"/>
          <w:sz w:val="30"/>
          <w:szCs w:val="30"/>
        </w:rPr>
        <w:t>: </w:t>
      </w:r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“Були випадки дитячих сліз через цькування, страх, сором, загрози психологічному здоров’ю дітей (і, буквально, життю) через матеріали в інтернеті, що, цитую: “Знищать мене, бо я цього не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переживу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”.</w:t>
      </w:r>
    </w:p>
    <w:p w:rsidR="007D0186" w:rsidRDefault="007D0186" w:rsidP="007D0186"/>
    <w:p w:rsidR="007D0186" w:rsidRDefault="007D0186" w:rsidP="007D0186"/>
    <w:p w:rsidR="007D0186" w:rsidRPr="007D0186" w:rsidRDefault="007D0186" w:rsidP="007D0186"/>
    <w:p w:rsidR="007D0186" w:rsidRPr="007D0186" w:rsidRDefault="007D0186" w:rsidP="007D0186"/>
    <w:p w:rsidR="007D0186" w:rsidRPr="007D0186" w:rsidRDefault="007D0186" w:rsidP="007D0186"/>
    <w:p w:rsidR="007D0186" w:rsidRPr="007D0186" w:rsidRDefault="007D0186" w:rsidP="007D0186"/>
    <w:p w:rsidR="007D0186" w:rsidRPr="007D0186" w:rsidRDefault="007D0186" w:rsidP="007D0186"/>
    <w:p w:rsidR="007D0186" w:rsidRPr="007D0186" w:rsidRDefault="007D0186" w:rsidP="007D0186"/>
    <w:p w:rsidR="007D0186" w:rsidRDefault="007D0186" w:rsidP="007D0186"/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Default="007D0186" w:rsidP="007D0186">
      <w:pPr>
        <w:pStyle w:val="a7"/>
        <w:spacing w:before="0" w:beforeAutospacing="0" w:after="0" w:afterAutospacing="0"/>
        <w:ind w:left="900" w:right="900"/>
        <w:rPr>
          <w:rFonts w:ascii="ProximaNova" w:hAnsi="ProximaNova"/>
          <w:color w:val="141414"/>
          <w:sz w:val="30"/>
          <w:szCs w:val="30"/>
        </w:rPr>
      </w:pPr>
      <w:r>
        <w:lastRenderedPageBreak/>
        <w:tab/>
      </w:r>
      <w:r>
        <w:rPr>
          <w:rFonts w:ascii="ProximaNova" w:hAnsi="ProximaNova"/>
          <w:color w:val="141414"/>
          <w:sz w:val="30"/>
          <w:szCs w:val="30"/>
        </w:rPr>
        <w:t xml:space="preserve">Нагадаємо,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Docudays</w:t>
      </w:r>
      <w:proofErr w:type="spellEnd"/>
      <w:r>
        <w:rPr>
          <w:rFonts w:ascii="ProximaNova" w:hAnsi="ProximaNova"/>
          <w:color w:val="141414"/>
          <w:sz w:val="30"/>
          <w:szCs w:val="30"/>
        </w:rPr>
        <w:t xml:space="preserve"> UA спільно з Українською Гельсінською спілкою з прав людини (УГСПЛ) також у межах Кампанії проти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кібербулінгу</w:t>
      </w:r>
      <w:proofErr w:type="spellEnd"/>
      <w:r>
        <w:rPr>
          <w:rStyle w:val="a8"/>
          <w:rFonts w:ascii="ProximaNova" w:hAnsi="ProximaNova"/>
          <w:color w:val="010101"/>
          <w:sz w:val="30"/>
          <w:szCs w:val="30"/>
          <w:bdr w:val="none" w:sz="0" w:space="0" w:color="auto" w:frame="1"/>
        </w:rPr>
        <w:t> пропонують кваліфіковану юридичну допомогу дітям та/чи батькам дітей</w:t>
      </w:r>
      <w:r>
        <w:rPr>
          <w:rFonts w:ascii="ProximaNova" w:hAnsi="ProximaNova"/>
          <w:color w:val="141414"/>
          <w:sz w:val="30"/>
          <w:szCs w:val="30"/>
        </w:rPr>
        <w:t>.</w:t>
      </w:r>
    </w:p>
    <w:p w:rsidR="007D0186" w:rsidRDefault="007D0186" w:rsidP="007D0186">
      <w:pPr>
        <w:pStyle w:val="a7"/>
        <w:spacing w:before="0" w:beforeAutospacing="0" w:after="375" w:afterAutospacing="0"/>
        <w:ind w:left="900" w:right="900"/>
        <w:rPr>
          <w:rFonts w:ascii="ProximaNova" w:hAnsi="ProximaNova"/>
          <w:color w:val="141414"/>
          <w:sz w:val="30"/>
          <w:szCs w:val="30"/>
        </w:rPr>
      </w:pPr>
      <w:r>
        <w:rPr>
          <w:rFonts w:ascii="ProximaNova" w:hAnsi="ProximaNova"/>
          <w:color w:val="141414"/>
          <w:sz w:val="30"/>
          <w:szCs w:val="30"/>
        </w:rPr>
        <w:t xml:space="preserve">Якщо ви страждаєте від постійних образ в інтернеті; ваш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акаунт</w:t>
      </w:r>
      <w:proofErr w:type="spellEnd"/>
      <w:r>
        <w:rPr>
          <w:rFonts w:ascii="ProximaNova" w:hAnsi="ProximaNova"/>
          <w:color w:val="141414"/>
          <w:sz w:val="30"/>
          <w:szCs w:val="30"/>
        </w:rPr>
        <w:t xml:space="preserve"> зламали та поширили особисті дані; чи ви наразилися на інші небезпеки в мережі – звертайтеся по правову допомогу.</w:t>
      </w:r>
    </w:p>
    <w:p w:rsidR="007D0186" w:rsidRDefault="007D0186" w:rsidP="007D0186">
      <w:pPr>
        <w:pStyle w:val="a7"/>
        <w:spacing w:before="0" w:beforeAutospacing="0" w:after="0" w:afterAutospacing="0"/>
        <w:ind w:left="900" w:right="900"/>
        <w:rPr>
          <w:rFonts w:ascii="ProximaNova" w:hAnsi="ProximaNova"/>
          <w:color w:val="141414"/>
          <w:sz w:val="30"/>
          <w:szCs w:val="30"/>
        </w:rPr>
      </w:pPr>
      <w:r>
        <w:rPr>
          <w:rStyle w:val="a8"/>
          <w:rFonts w:ascii="ProximaNova" w:hAnsi="ProximaNova"/>
          <w:color w:val="010101"/>
          <w:sz w:val="30"/>
          <w:szCs w:val="30"/>
          <w:bdr w:val="none" w:sz="0" w:space="0" w:color="auto" w:frame="1"/>
        </w:rPr>
        <w:t>Телефони гарячої лінії</w:t>
      </w:r>
      <w:r>
        <w:rPr>
          <w:rFonts w:ascii="ProximaNova" w:hAnsi="ProximaNova"/>
          <w:color w:val="141414"/>
          <w:sz w:val="30"/>
          <w:szCs w:val="30"/>
        </w:rPr>
        <w:t> приймальні УГСПЛ: (044) 383 9519, 094 928 6519.</w:t>
      </w:r>
    </w:p>
    <w:p w:rsidR="007D0186" w:rsidRDefault="007D0186" w:rsidP="007D0186">
      <w:pPr>
        <w:pStyle w:val="a7"/>
        <w:spacing w:before="0" w:beforeAutospacing="0" w:after="0" w:afterAutospacing="0"/>
        <w:ind w:left="900" w:right="900"/>
        <w:rPr>
          <w:rFonts w:ascii="ProximaNova" w:hAnsi="ProximaNova"/>
          <w:color w:val="141414"/>
          <w:sz w:val="30"/>
          <w:szCs w:val="30"/>
        </w:rPr>
      </w:pPr>
      <w:r>
        <w:rPr>
          <w:rStyle w:val="a8"/>
          <w:rFonts w:ascii="ProximaNova" w:hAnsi="ProximaNova"/>
          <w:i/>
          <w:iCs/>
          <w:color w:val="010101"/>
          <w:sz w:val="30"/>
          <w:szCs w:val="30"/>
          <w:bdr w:val="none" w:sz="0" w:space="0" w:color="auto" w:frame="1"/>
        </w:rPr>
        <w:t>“Нова українська школа”</w:t>
      </w:r>
    </w:p>
    <w:p w:rsidR="007D0186" w:rsidRDefault="007D0186" w:rsidP="007D0186">
      <w:pPr>
        <w:tabs>
          <w:tab w:val="left" w:pos="375"/>
        </w:tabs>
      </w:pPr>
      <w:bookmarkStart w:id="0" w:name="_GoBack"/>
      <w:bookmarkEnd w:id="0"/>
    </w:p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Default="007D0186" w:rsidP="007D0186">
      <w:pPr>
        <w:jc w:val="right"/>
      </w:pPr>
    </w:p>
    <w:p w:rsidR="007D0186" w:rsidRPr="007D0186" w:rsidRDefault="007D0186" w:rsidP="007D0186">
      <w:pPr>
        <w:jc w:val="right"/>
      </w:pPr>
    </w:p>
    <w:sectPr w:rsidR="007D0186" w:rsidRPr="007D01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41B6"/>
    <w:multiLevelType w:val="multilevel"/>
    <w:tmpl w:val="416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57628"/>
    <w:multiLevelType w:val="multilevel"/>
    <w:tmpl w:val="3C68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03366"/>
    <w:multiLevelType w:val="multilevel"/>
    <w:tmpl w:val="3FD8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C4"/>
    <w:rsid w:val="002D1EC4"/>
    <w:rsid w:val="007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18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D0186"/>
    <w:rPr>
      <w:i/>
      <w:iCs/>
    </w:rPr>
  </w:style>
  <w:style w:type="paragraph" w:styleId="a7">
    <w:name w:val="Normal (Web)"/>
    <w:basedOn w:val="a"/>
    <w:uiPriority w:val="99"/>
    <w:semiHidden/>
    <w:unhideWhenUsed/>
    <w:rsid w:val="007D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7D0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18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D0186"/>
    <w:rPr>
      <w:i/>
      <w:iCs/>
    </w:rPr>
  </w:style>
  <w:style w:type="paragraph" w:styleId="a7">
    <w:name w:val="Normal (Web)"/>
    <w:basedOn w:val="a"/>
    <w:uiPriority w:val="99"/>
    <w:semiHidden/>
    <w:unhideWhenUsed/>
    <w:rsid w:val="007D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7D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articles/ne-ignoruvaty-i-ne-zaboronyaty-yak-zahystyty-ditej-vid-kiberbulingu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QxPlORS834&amp;feature=emb_title" TargetMode="External"/><Relationship Id="rId12" Type="http://schemas.openxmlformats.org/officeDocument/2006/relationships/hyperlink" Target="https://nus.org.ua/wp-content/uploads/2019/11/Screen-Shot-2019-09-30-at-17.47.13-kopyya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vita.diia.gov.ua/courses/cyberbullying" TargetMode="External"/><Relationship Id="rId11" Type="http://schemas.openxmlformats.org/officeDocument/2006/relationships/hyperlink" Target="http://cyber.bullyingstop.org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kmu.gov.ua/ua/npas/pro-zatverdzhennya-derzhavnoyi-socialnoyi-programi-nacionalnij-plan-dij-shodo-realizaciyi-konvenciyi-oon-pro-prava-ditini-na-period-do-2021-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s.org.ua/news/29-ukrayinskyh-pidlitkiv-stavaly-zhertvamy-onlajn-tskuvanny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3854</Words>
  <Characters>2198</Characters>
  <Application>Microsoft Office Word</Application>
  <DocSecurity>0</DocSecurity>
  <Lines>18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2020-05-06T05:12:00Z</dcterms:created>
  <dcterms:modified xsi:type="dcterms:W3CDTF">2020-05-06T05:18:00Z</dcterms:modified>
</cp:coreProperties>
</file>