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C" w:rsidRPr="00FC610C" w:rsidRDefault="00FC610C" w:rsidP="00FC610C">
      <w:pPr>
        <w:jc w:val="center"/>
        <w:rPr>
          <w:rFonts w:ascii="Arial Black" w:hAnsi="Arial Black"/>
          <w:color w:val="943634" w:themeColor="accent2" w:themeShade="BF"/>
        </w:rPr>
      </w:pPr>
      <w:r w:rsidRPr="00FC610C">
        <w:rPr>
          <w:rFonts w:ascii="Arial Black" w:hAnsi="Arial Black"/>
          <w:color w:val="943634" w:themeColor="accent2" w:themeShade="BF"/>
        </w:rPr>
        <w:t xml:space="preserve">Порядок подання та розгляду заяв про випадки </w:t>
      </w:r>
      <w:proofErr w:type="spellStart"/>
      <w:r w:rsidRPr="00FC610C">
        <w:rPr>
          <w:rFonts w:ascii="Arial Black" w:hAnsi="Arial Black"/>
          <w:color w:val="943634" w:themeColor="accent2" w:themeShade="BF"/>
        </w:rPr>
        <w:t>булінгу</w:t>
      </w:r>
      <w:proofErr w:type="spellEnd"/>
      <w:r w:rsidRPr="00FC610C">
        <w:rPr>
          <w:rFonts w:ascii="Arial Black" w:hAnsi="Arial Black"/>
          <w:color w:val="943634" w:themeColor="accent2" w:themeShade="BF"/>
        </w:rPr>
        <w:t xml:space="preserve"> (цькування) у закладі освіти</w:t>
      </w:r>
    </w:p>
    <w:p w:rsidR="00FC610C" w:rsidRPr="003672AA" w:rsidRDefault="003672AA" w:rsidP="003672AA">
      <w:pPr>
        <w:ind w:firstLine="708"/>
        <w:rPr>
          <w:rFonts w:ascii="Arial Black" w:hAnsi="Arial Black"/>
        </w:rPr>
      </w:pPr>
      <w:r>
        <w:rPr>
          <w:rFonts w:ascii="Arial Black" w:hAnsi="Arial Black"/>
        </w:rPr>
        <w:t>1.</w:t>
      </w:r>
      <w:r w:rsidR="00FC610C" w:rsidRPr="003672AA">
        <w:rPr>
          <w:rFonts w:ascii="Arial Black" w:hAnsi="Arial Black"/>
        </w:rPr>
        <w:t xml:space="preserve">Заяву про випадки </w:t>
      </w:r>
      <w:proofErr w:type="spellStart"/>
      <w:r w:rsidR="00FC610C" w:rsidRPr="003672AA">
        <w:rPr>
          <w:rFonts w:ascii="Arial Black" w:hAnsi="Arial Black"/>
        </w:rPr>
        <w:t>булінгу</w:t>
      </w:r>
      <w:proofErr w:type="spellEnd"/>
      <w:r w:rsidR="00FC610C" w:rsidRPr="003672AA">
        <w:rPr>
          <w:rFonts w:ascii="Arial Black" w:hAnsi="Arial Black"/>
        </w:rPr>
        <w:t xml:space="preserve"> у закладі освіти має право подати будь-який учасник освітнього процесу.</w:t>
      </w:r>
    </w:p>
    <w:p w:rsidR="003672AA" w:rsidRPr="003672AA" w:rsidRDefault="003672AA" w:rsidP="003672AA">
      <w:pPr>
        <w:pStyle w:val="a3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 w:rsidRPr="003672AA">
        <w:rPr>
          <w:rFonts w:ascii="Helvetica" w:eastAsia="Times New Roman" w:hAnsi="Helvetica" w:cs="Helvetica"/>
          <w:b/>
          <w:bCs/>
          <w:color w:val="943634" w:themeColor="accent2" w:themeShade="BF"/>
          <w:sz w:val="24"/>
          <w:szCs w:val="24"/>
          <w:lang w:eastAsia="uk-UA"/>
        </w:rPr>
        <w:t>Терміни подання та розгляду Заяв</w:t>
      </w:r>
    </w:p>
    <w:p w:rsidR="003672AA" w:rsidRPr="003672AA" w:rsidRDefault="003672AA" w:rsidP="003672A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1. Заявники зобов’язані терміново повідомляти керівнику закладу про випадки </w:t>
      </w:r>
      <w:proofErr w:type="spellStart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булінгу</w:t>
      </w:r>
      <w:proofErr w:type="spellEnd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 (цькування), а також подати Заяву.</w:t>
      </w:r>
    </w:p>
    <w:p w:rsidR="003672AA" w:rsidRPr="003672AA" w:rsidRDefault="003672AA" w:rsidP="003672AA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2.</w:t>
      </w:r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 Рішення про проведення розслідування із визначенням уповноважених осіб видається протягом 1 робочого дня з дати подання Заяви.</w:t>
      </w:r>
    </w:p>
    <w:p w:rsidR="003672AA" w:rsidRPr="003672AA" w:rsidRDefault="003672AA" w:rsidP="003672AA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3. Розслідування випадків </w:t>
      </w:r>
      <w:proofErr w:type="spellStart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булінгу</w:t>
      </w:r>
      <w:proofErr w:type="spellEnd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 (цькування) уповноваженими особами здійснюється протягом 3 робочих днів з дати видання рішення про проведення розслідування.</w:t>
      </w:r>
    </w:p>
    <w:p w:rsidR="003672AA" w:rsidRPr="003672AA" w:rsidRDefault="003672AA" w:rsidP="003672AA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4. 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Комісії.</w:t>
      </w:r>
    </w:p>
    <w:p w:rsidR="003672AA" w:rsidRPr="003672AA" w:rsidRDefault="003672AA" w:rsidP="003672A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5. Директор школи</w:t>
      </w:r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 зобов’язаний повідомити уповноважені органи Національної поліції (ювенальна поліція) та службу у справах дітей про кваліфікований Комісією випадок </w:t>
      </w:r>
      <w:proofErr w:type="spellStart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>булінгу</w:t>
      </w:r>
      <w:proofErr w:type="spellEnd"/>
      <w:r w:rsidRPr="003672AA">
        <w:rPr>
          <w:rFonts w:ascii="Helvetica" w:eastAsia="Times New Roman" w:hAnsi="Helvetica" w:cs="Helvetica"/>
          <w:color w:val="943634" w:themeColor="accent2" w:themeShade="BF"/>
          <w:sz w:val="24"/>
          <w:szCs w:val="24"/>
          <w:lang w:eastAsia="uk-UA"/>
        </w:rPr>
        <w:t xml:space="preserve"> (цькування) протягом одного дня.</w:t>
      </w:r>
    </w:p>
    <w:p w:rsidR="003672AA" w:rsidRDefault="003672AA">
      <w:pPr>
        <w:rPr>
          <w:rFonts w:ascii="Arial Black" w:hAnsi="Arial Black"/>
          <w:color w:val="943634" w:themeColor="accent2" w:themeShade="BF"/>
        </w:rPr>
      </w:pPr>
    </w:p>
    <w:p w:rsid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2. Заява подається керівнику закладу освіти відповідно до Закону України «Про звернення громадян». </w:t>
      </w:r>
    </w:p>
    <w:p w:rsidR="00FC610C" w:rsidRP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3. Здобувач освіти, який став свідком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 xml:space="preserve"> у школі, зобов’язаний повідомити про це вчителя, вихователя, психолога або безпосередньо керівника закладу освіти .</w:t>
      </w:r>
    </w:p>
    <w:p w:rsidR="00FC610C" w:rsidRP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4. Педагог або інший працівник закладу освіти, який став свідком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 xml:space="preserve"> або отримав повідомлення про факт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 xml:space="preserve"> від здобувача освіти, який був свідком або учасником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>, зобов’язаний повідомити керівника закладу освіти про цей факт.</w:t>
      </w:r>
    </w:p>
    <w:p w:rsidR="00FC610C" w:rsidRP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5. Керівник закладу освіти має розглянути звернення.</w:t>
      </w:r>
    </w:p>
    <w:p w:rsid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6. Керівник закладу освіти створює комісію з розгляду випадків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 xml:space="preserve">, яка з’ясовує обставини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>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3672AA">
        <w:rPr>
          <w:rFonts w:ascii="Helvetica" w:eastAsia="Times New Roman" w:hAnsi="Helvetica" w:cs="Helvetica"/>
          <w:b/>
          <w:bCs/>
          <w:color w:val="632423" w:themeColor="accent2" w:themeShade="80"/>
          <w:sz w:val="24"/>
          <w:szCs w:val="24"/>
          <w:lang w:eastAsia="uk-UA"/>
        </w:rPr>
        <w:t xml:space="preserve">Комісія з розгляду випадків </w:t>
      </w:r>
      <w:proofErr w:type="spellStart"/>
      <w:r w:rsidRPr="003672AA">
        <w:rPr>
          <w:rFonts w:ascii="Helvetica" w:eastAsia="Times New Roman" w:hAnsi="Helvetica" w:cs="Helvetica"/>
          <w:b/>
          <w:bCs/>
          <w:color w:val="632423" w:themeColor="accent2" w:themeShade="80"/>
          <w:sz w:val="24"/>
          <w:szCs w:val="24"/>
          <w:lang w:eastAsia="uk-UA"/>
        </w:rPr>
        <w:t>булінгу</w:t>
      </w:r>
      <w:proofErr w:type="spellEnd"/>
      <w:r w:rsidRPr="003672AA">
        <w:rPr>
          <w:rFonts w:ascii="Helvetica" w:eastAsia="Times New Roman" w:hAnsi="Helvetica" w:cs="Helvetica"/>
          <w:b/>
          <w:bCs/>
          <w:color w:val="632423" w:themeColor="accent2" w:themeShade="80"/>
          <w:sz w:val="24"/>
          <w:szCs w:val="24"/>
          <w:lang w:eastAsia="uk-UA"/>
        </w:rPr>
        <w:t xml:space="preserve"> (цькування)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1.  За результатами 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розгляду Заяви директор школи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видає рішення про проведення розслідування випадків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булінгу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 із визначенням уповноважених осіб.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2.  З метою розслідування випадків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булінгу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 уповноважені особи мають право вимагати письмові пояснення та матеріали у сторін.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3.  Для прийняття рішення за результатами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розслідування директор школи 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створює комісію з розгляду випадків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булінгу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 (далі – Комісія) та скликає засідання.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4.  Комісія створюється наказом дир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ектора школи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5.  До складу комісії можуть входити педагогічні працівники (у томі числі психолог, соціальний педагог), батьки постраждал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ого та </w:t>
      </w:r>
      <w:proofErr w:type="spellStart"/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булера</w:t>
      </w:r>
      <w:proofErr w:type="spellEnd"/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, директор школи та інші зацікавлені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особи.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6.  Комісія у своїй діяльності керується законодавством України та іншими нормативними актами.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lastRenderedPageBreak/>
        <w:t xml:space="preserve">7.  Якщо Комісія визначила, що це був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(цькування), а не одноразовий конфлікт чи сварка, тобто відповідні дії носять систематичний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характер, то директор школи 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зобов’язаний повідомити уповноважені органи Національної поліції (ювенальна поліція) та службу у справах дітей.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8.  У разі, якщо Комісія не кваліфікує випадок як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</w:t>
      </w:r>
      <w:r w:rsidRPr="003672AA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директор школи</w:t>
      </w: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 має повідомити постраждалого.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9.  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10.  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</w:t>
      </w:r>
      <w:proofErr w:type="spellStart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булінгу</w:t>
      </w:r>
      <w:proofErr w:type="spellEnd"/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 xml:space="preserve"> (цькування).</w:t>
      </w:r>
    </w:p>
    <w:p w:rsidR="003672AA" w:rsidRPr="004B3338" w:rsidRDefault="003672AA" w:rsidP="003672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</w:pPr>
      <w:r w:rsidRPr="004B3338">
        <w:rPr>
          <w:rFonts w:ascii="Helvetica" w:eastAsia="Times New Roman" w:hAnsi="Helvetica" w:cs="Helvetica"/>
          <w:color w:val="632423" w:themeColor="accent2" w:themeShade="80"/>
          <w:sz w:val="24"/>
          <w:szCs w:val="24"/>
          <w:lang w:eastAsia="uk-UA"/>
        </w:rPr>
        <w:t>11.  Батьки зобов’язані виконувати рішення та рекомендації Комісії.</w:t>
      </w:r>
    </w:p>
    <w:p w:rsidR="003672AA" w:rsidRPr="003672AA" w:rsidRDefault="003672AA">
      <w:pPr>
        <w:rPr>
          <w:rFonts w:ascii="Arial Black" w:hAnsi="Arial Black"/>
          <w:color w:val="632423" w:themeColor="accent2" w:themeShade="80"/>
        </w:rPr>
      </w:pPr>
    </w:p>
    <w:p w:rsidR="00FC610C" w:rsidRP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7. Якщо випадок цькування був </w:t>
      </w:r>
      <w:proofErr w:type="spellStart"/>
      <w:r w:rsidRPr="00FC610C">
        <w:rPr>
          <w:rFonts w:ascii="Arial Black" w:hAnsi="Arial Black"/>
        </w:rPr>
        <w:t>єдиноразовим</w:t>
      </w:r>
      <w:proofErr w:type="spellEnd"/>
      <w:r w:rsidRPr="00FC610C">
        <w:rPr>
          <w:rFonts w:ascii="Arial Black" w:hAnsi="Arial Black"/>
        </w:rPr>
        <w:t xml:space="preserve"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</w:t>
      </w:r>
    </w:p>
    <w:p w:rsidR="00FC610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8. Якщо комісія визнала, що це був </w:t>
      </w:r>
      <w:proofErr w:type="spellStart"/>
      <w:r w:rsidRPr="00FC610C">
        <w:rPr>
          <w:rFonts w:ascii="Arial Black" w:hAnsi="Arial Black"/>
        </w:rPr>
        <w:t>булінг</w:t>
      </w:r>
      <w:proofErr w:type="spellEnd"/>
      <w:r w:rsidRPr="00FC610C">
        <w:rPr>
          <w:rFonts w:ascii="Arial Black" w:hAnsi="Arial Black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8E0DEC" w:rsidRDefault="00FC610C">
      <w:pPr>
        <w:rPr>
          <w:rFonts w:ascii="Arial Black" w:hAnsi="Arial Black"/>
        </w:rPr>
      </w:pPr>
      <w:r w:rsidRPr="00FC610C">
        <w:rPr>
          <w:rFonts w:ascii="Arial Black" w:hAnsi="Arial Black"/>
        </w:rPr>
        <w:t xml:space="preserve"> 9. Здобувач освіти може звернутись на гарячу лінію ГО «</w:t>
      </w:r>
      <w:proofErr w:type="spellStart"/>
      <w:r w:rsidRPr="00FC610C">
        <w:rPr>
          <w:rFonts w:ascii="Arial Black" w:hAnsi="Arial Black"/>
        </w:rPr>
        <w:t>Ла</w:t>
      </w:r>
      <w:proofErr w:type="spellEnd"/>
      <w:r w:rsidRPr="00FC610C">
        <w:rPr>
          <w:rFonts w:ascii="Arial Black" w:hAnsi="Arial Black"/>
        </w:rPr>
        <w:t xml:space="preserve"> </w:t>
      </w:r>
      <w:proofErr w:type="spellStart"/>
      <w:r w:rsidRPr="00FC610C">
        <w:rPr>
          <w:rFonts w:ascii="Arial Black" w:hAnsi="Arial Black"/>
        </w:rPr>
        <w:t>Страда</w:t>
      </w:r>
      <w:proofErr w:type="spellEnd"/>
      <w:r w:rsidRPr="00FC610C">
        <w:rPr>
          <w:rFonts w:ascii="Arial Black" w:hAnsi="Arial Black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FC610C">
        <w:rPr>
          <w:rFonts w:ascii="Arial Black" w:hAnsi="Arial Black"/>
        </w:rPr>
        <w:t>булінгу</w:t>
      </w:r>
      <w:proofErr w:type="spellEnd"/>
      <w:r w:rsidRPr="00FC610C">
        <w:rPr>
          <w:rFonts w:ascii="Arial Black" w:hAnsi="Arial Black"/>
        </w:rPr>
        <w:t xml:space="preserve">. Керівник закладу освіти має розглянути таке звернення та з’ясувати всі обставини </w:t>
      </w:r>
      <w:r>
        <w:rPr>
          <w:rFonts w:ascii="Arial Black" w:hAnsi="Arial Black"/>
        </w:rPr>
        <w:t>боулінгу.</w:t>
      </w:r>
    </w:p>
    <w:sectPr w:rsidR="008E0DEC" w:rsidSect="0097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3E65"/>
    <w:multiLevelType w:val="hybridMultilevel"/>
    <w:tmpl w:val="BCFED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10C"/>
    <w:rsid w:val="003672AA"/>
    <w:rsid w:val="004A0AA7"/>
    <w:rsid w:val="00976CD0"/>
    <w:rsid w:val="009D7F02"/>
    <w:rsid w:val="00D85E48"/>
    <w:rsid w:val="00F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2774</Words>
  <Characters>1582</Characters>
  <Application>Microsoft Office Word</Application>
  <DocSecurity>0</DocSecurity>
  <Lines>13</Lines>
  <Paragraphs>8</Paragraphs>
  <ScaleCrop>false</ScaleCrop>
  <Company>DG Win&amp;Soft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2020-06-16T14:57:00Z</dcterms:created>
  <dcterms:modified xsi:type="dcterms:W3CDTF">2020-06-16T15:14:00Z</dcterms:modified>
</cp:coreProperties>
</file>