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uk-UA"/>
        </w:rPr>
      </w:pPr>
      <w:r>
        <w:rPr>
          <w:lang w:val="uk-UA"/>
        </w:rPr>
      </w:r>
    </w:p>
    <w:p>
      <w:pPr>
        <w:pStyle w:val="Normal"/>
        <w:bidi w:val="0"/>
        <w:jc w:val="right"/>
        <w:rPr/>
      </w:pPr>
      <w:r>
        <w:rPr/>
        <w:t>Додаток 2.</w:t>
      </w:r>
    </w:p>
    <w:p>
      <w:pPr>
        <w:pStyle w:val="Normal"/>
        <w:bidi w:val="0"/>
        <w:jc w:val="right"/>
        <w:rPr/>
      </w:pPr>
      <w:r>
        <w:rPr/>
        <w:t xml:space="preserve">до наказу від </w:t>
      </w:r>
      <w:r>
        <w:rPr>
          <w:lang w:val="uk-UA"/>
        </w:rPr>
        <w:t>31</w:t>
      </w:r>
      <w:r>
        <w:rPr/>
        <w:t>.0</w:t>
      </w:r>
      <w:r>
        <w:rPr>
          <w:lang w:val="uk-UA"/>
        </w:rPr>
        <w:t>8</w:t>
      </w:r>
      <w:r>
        <w:rPr/>
        <w:t>.20</w:t>
      </w:r>
      <w:r>
        <w:rPr>
          <w:lang w:val="uk-UA"/>
        </w:rPr>
        <w:t>23</w:t>
      </w:r>
      <w:r>
        <w:rPr/>
        <w:t xml:space="preserve"> №</w:t>
      </w:r>
      <w:r>
        <w:rPr>
          <w:lang w:val="uk-UA"/>
        </w:rPr>
        <w:t>100</w:t>
      </w:r>
    </w:p>
    <w:p>
      <w:pPr>
        <w:pStyle w:val="Normal"/>
        <w:bidi w:val="0"/>
        <w:jc w:val="center"/>
        <w:rPr>
          <w:rFonts w:ascii="Calibri" w:hAnsi="Calibri" w:cs="Calibri"/>
        </w:rPr>
      </w:pPr>
      <w:r>
        <w:rPr>
          <w:rFonts w:cs="Calibri" w:ascii="Calibri" w:hAnsi="Calibri"/>
        </w:rPr>
      </w:r>
    </w:p>
    <w:p>
      <w:pPr>
        <w:pStyle w:val="Normal"/>
        <w:bidi w:val="0"/>
        <w:jc w:val="center"/>
        <w:rPr>
          <w:rFonts w:ascii="Calibri" w:hAnsi="Calibri" w:cs="Calibri"/>
        </w:rPr>
      </w:pPr>
      <w:r>
        <w:rPr>
          <w:rFonts w:cs="Calibri" w:ascii="Calibri" w:hAnsi="Calibri"/>
        </w:rPr>
      </w:r>
    </w:p>
    <w:p>
      <w:pPr>
        <w:pStyle w:val="Normal"/>
        <w:bidi w:val="0"/>
        <w:jc w:val="center"/>
        <w:rPr/>
      </w:pPr>
      <w:r>
        <w:rPr>
          <w:b/>
          <w:sz w:val="28"/>
          <w:szCs w:val="28"/>
        </w:rPr>
        <w:t>Порядок подання та розгляду (з дотриманням конфіденційності) заяв про випадки булінгу (цькування) в закладі</w:t>
      </w:r>
      <w:r>
        <w:rPr>
          <w:b/>
        </w:rPr>
        <w:t xml:space="preserve">    </w:t>
      </w:r>
    </w:p>
    <w:p>
      <w:pPr>
        <w:pStyle w:val="Normal"/>
        <w:bidi w:val="0"/>
        <w:ind w:left="0" w:right="0" w:firstLine="709"/>
        <w:jc w:val="both"/>
        <w:rPr>
          <w:b/>
          <w:b/>
          <w:sz w:val="28"/>
          <w:szCs w:val="28"/>
        </w:rPr>
      </w:pPr>
      <w:r>
        <w:rPr>
          <w:b/>
          <w:sz w:val="28"/>
          <w:szCs w:val="28"/>
        </w:rPr>
      </w:r>
    </w:p>
    <w:p>
      <w:pPr>
        <w:pStyle w:val="Normal"/>
        <w:numPr>
          <w:ilvl w:val="0"/>
          <w:numId w:val="1"/>
        </w:numPr>
        <w:tabs>
          <w:tab w:val="clear" w:pos="709"/>
          <w:tab w:val="left" w:pos="-142" w:leader="none"/>
        </w:tabs>
        <w:bidi w:val="0"/>
        <w:ind w:left="0" w:right="0" w:firstLine="851"/>
        <w:jc w:val="both"/>
        <w:rPr>
          <w:sz w:val="28"/>
          <w:szCs w:val="28"/>
        </w:rPr>
      </w:pPr>
      <w:r>
        <w:rPr>
          <w:sz w:val="28"/>
          <w:szCs w:val="28"/>
        </w:rPr>
        <w:t>Учасники освітнього процесу подають заяву керівнику закладу освіти про випадки булінгу по відношенню до дитини або будь-якого іншого учасника освітнього процесу.</w:t>
      </w:r>
    </w:p>
    <w:p>
      <w:pPr>
        <w:pStyle w:val="Normal"/>
        <w:numPr>
          <w:ilvl w:val="0"/>
          <w:numId w:val="1"/>
        </w:numPr>
        <w:tabs>
          <w:tab w:val="clear" w:pos="709"/>
          <w:tab w:val="left" w:pos="-142" w:leader="none"/>
        </w:tabs>
        <w:bidi w:val="0"/>
        <w:ind w:left="0" w:right="0" w:firstLine="851"/>
        <w:jc w:val="both"/>
        <w:rPr>
          <w:sz w:val="28"/>
          <w:szCs w:val="28"/>
        </w:rPr>
      </w:pPr>
      <w:r>
        <w:rPr>
          <w:sz w:val="28"/>
          <w:szCs w:val="28"/>
        </w:rPr>
        <w:t>Керівник закладу освіти розглядає заяву в день її подання та видає рішення про проведення розслідування.</w:t>
      </w:r>
    </w:p>
    <w:p>
      <w:pPr>
        <w:pStyle w:val="Normal"/>
        <w:numPr>
          <w:ilvl w:val="0"/>
          <w:numId w:val="1"/>
        </w:numPr>
        <w:tabs>
          <w:tab w:val="clear" w:pos="709"/>
          <w:tab w:val="left" w:pos="-142" w:leader="none"/>
        </w:tabs>
        <w:bidi w:val="0"/>
        <w:ind w:left="0" w:right="0" w:firstLine="851"/>
        <w:jc w:val="both"/>
        <w:rPr>
          <w:sz w:val="28"/>
          <w:szCs w:val="28"/>
        </w:rPr>
      </w:pPr>
      <w:r>
        <w:rPr>
          <w:sz w:val="28"/>
          <w:szCs w:val="28"/>
        </w:rPr>
        <w:t>Проводиться повне та неупереджене розслідування щодо випадків булінгу (цькування) з залученням осіб від яких отримали інформацію.</w:t>
      </w:r>
    </w:p>
    <w:p>
      <w:pPr>
        <w:pStyle w:val="Normal"/>
        <w:numPr>
          <w:ilvl w:val="0"/>
          <w:numId w:val="1"/>
        </w:numPr>
        <w:tabs>
          <w:tab w:val="clear" w:pos="709"/>
          <w:tab w:val="left" w:pos="-142" w:leader="none"/>
        </w:tabs>
        <w:bidi w:val="0"/>
        <w:ind w:left="0" w:right="0" w:firstLine="851"/>
        <w:jc w:val="both"/>
        <w:rPr>
          <w:sz w:val="28"/>
          <w:szCs w:val="28"/>
        </w:rPr>
      </w:pPr>
      <w:r>
        <w:rPr>
          <w:sz w:val="28"/>
          <w:szCs w:val="28"/>
        </w:rPr>
        <w:t>Керівник закладу освіти для прийняття рішення за результатами розслідування створює наказом комісію з розгляду випадків булінгу (цькування) та скликає засідання. До складу комісії входять педагогічні працівники (у тому числі психолог, соціальний педагог), батьки постраждалого та булера, керівник закладу та інші зацікавлені особи для прийняття рішення за результатами розслідування та виконання відповідних заходів реагування.</w:t>
      </w:r>
    </w:p>
    <w:p>
      <w:pPr>
        <w:pStyle w:val="Normal"/>
        <w:numPr>
          <w:ilvl w:val="0"/>
          <w:numId w:val="1"/>
        </w:numPr>
        <w:tabs>
          <w:tab w:val="clear" w:pos="709"/>
          <w:tab w:val="left" w:pos="-142" w:leader="none"/>
        </w:tabs>
        <w:bidi w:val="0"/>
        <w:ind w:left="0" w:right="0" w:firstLine="851"/>
        <w:jc w:val="both"/>
        <w:rPr>
          <w:sz w:val="28"/>
          <w:szCs w:val="28"/>
        </w:rPr>
      </w:pPr>
      <w:r>
        <w:rPr>
          <w:sz w:val="28"/>
          <w:szCs w:val="28"/>
        </w:rPr>
        <w:t>Рішення Комісії реєструється в окремому журналі, зберігається в паперовому вигляді з оригіналами підписів всіх членів Комісії.</w:t>
      </w:r>
    </w:p>
    <w:p>
      <w:pPr>
        <w:pStyle w:val="Normal"/>
        <w:numPr>
          <w:ilvl w:val="0"/>
          <w:numId w:val="1"/>
        </w:numPr>
        <w:tabs>
          <w:tab w:val="clear" w:pos="709"/>
          <w:tab w:val="left" w:pos="-142" w:leader="none"/>
        </w:tabs>
        <w:bidi w:val="0"/>
        <w:ind w:left="0" w:right="0" w:firstLine="851"/>
        <w:jc w:val="both"/>
        <w:rPr>
          <w:sz w:val="28"/>
          <w:szCs w:val="28"/>
        </w:rPr>
      </w:pPr>
      <w:r>
        <w:rPr>
          <w:sz w:val="28"/>
          <w:szCs w:val="28"/>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(цькування).</w:t>
      </w:r>
    </w:p>
    <w:p>
      <w:pPr>
        <w:pStyle w:val="Normal"/>
        <w:bidi w:val="0"/>
        <w:jc w:val="left"/>
        <w:rPr>
          <w:rFonts w:ascii="Tahoma" w:hAnsi="Tahoma" w:cs="Tahoma"/>
          <w:sz w:val="22"/>
          <w:szCs w:val="22"/>
        </w:rPr>
      </w:pPr>
      <w:r>
        <w:rPr>
          <w:rFonts w:cs="Tahoma" w:ascii="Tahoma" w:hAnsi="Tahoma"/>
          <w:sz w:val="22"/>
          <w:szCs w:val="2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uk-UA" w:eastAsia="zh-CN" w:bidi="hi-IN"/>
    </w:rPr>
  </w:style>
  <w:style w:type="character" w:styleId="WW8Num2z0">
    <w:name w:val="WW8Num2z0"/>
    <w:qFormat/>
    <w:rPr>
      <w:rFonts w:cs="Tahom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lang w:val="zxx" w:eastAsia="zxx" w:bidi="zxx"/>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LibreOffice/7.2.2.2$Windows_X86_64 LibreOffice_project/02b2acce88a210515b4a5bb2e46cbfb63fe97d56</Application>
  <AppVersion>15.0000</AppVersion>
  <Pages>1</Pages>
  <Words>176</Words>
  <Characters>1169</Characters>
  <CharactersWithSpaces>1334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2023-10-10T11:51:42Z</dcterms:created>
  <dc:creator/>
  <dc:description/>
  <dc:language>uk-UA</dc:language>
  <cp:lastModifiedBy/>
  <dcterms:modified xsi:type="dcterms:W3CDTF">2023-10-10T11:53:25Z</dcterms:modified>
  <cp:revision>1</cp:revision>
  <dc:subject/>
  <dc:title/>
</cp:coreProperties>
</file>