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D1" w:rsidRPr="00FE7C50" w:rsidRDefault="009F0AD1" w:rsidP="004004DB">
      <w:pPr>
        <w:shd w:val="clear" w:color="auto" w:fill="FFFFFF"/>
        <w:spacing w:before="300" w:after="150" w:line="360" w:lineRule="auto"/>
        <w:ind w:firstLine="540"/>
        <w:jc w:val="both"/>
        <w:outlineLvl w:val="0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4004DB">
        <w:rPr>
          <w:rFonts w:ascii="inherit" w:eastAsia="Times New Roman" w:hAnsi="inherit" w:cs="Arial" w:hint="eastAsia"/>
          <w:b/>
          <w:color w:val="333333"/>
          <w:kern w:val="36"/>
          <w:sz w:val="32"/>
          <w:szCs w:val="32"/>
          <w:lang w:eastAsia="ru-RU"/>
        </w:rPr>
        <w:t>Порядок</w:t>
      </w:r>
      <w:r w:rsidRPr="004004DB">
        <w:rPr>
          <w:rFonts w:ascii="inherit" w:hAnsi="inherit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32"/>
          <w:szCs w:val="32"/>
          <w:lang w:eastAsia="ru-RU"/>
        </w:rPr>
        <w:t>реагування</w:t>
      </w:r>
      <w:r w:rsidRPr="004004DB">
        <w:rPr>
          <w:rFonts w:ascii="inherit" w:hAnsi="inherit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32"/>
          <w:szCs w:val="32"/>
          <w:lang w:eastAsia="ru-RU"/>
        </w:rPr>
        <w:t>на</w:t>
      </w:r>
      <w:r w:rsidRPr="004004DB">
        <w:rPr>
          <w:rFonts w:ascii="inherit" w:hAnsi="inherit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32"/>
          <w:szCs w:val="32"/>
          <w:lang w:eastAsia="ru-RU"/>
        </w:rPr>
        <w:t>доведені</w:t>
      </w:r>
      <w:r w:rsidRPr="004004DB">
        <w:rPr>
          <w:rFonts w:ascii="inherit" w:hAnsi="inherit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32"/>
          <w:szCs w:val="32"/>
          <w:lang w:eastAsia="ru-RU"/>
        </w:rPr>
        <w:t>випадки</w:t>
      </w:r>
      <w:r w:rsidRPr="004004DB">
        <w:rPr>
          <w:rFonts w:ascii="inherit" w:hAnsi="inherit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32"/>
          <w:szCs w:val="32"/>
          <w:lang w:eastAsia="ru-RU"/>
        </w:rPr>
        <w:t>булінгу</w:t>
      </w:r>
      <w:r w:rsidRPr="004004DB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(цькування) в закладі освіти та відповідальність осіб, причетних до булінгу (цькування) 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39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основі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рішення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комісії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розгляду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випадків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кваліфікувала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випадок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одноразовий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конфлікт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сварка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тобто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відповідні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дії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носять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систематичний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характер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директор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-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повідомляє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уповноваженим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підрозділам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органів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Національної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поліції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України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ювенальна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поліція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службі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справах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дітей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випадки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закладі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9F0AD1" w:rsidRPr="004004DB" w:rsidRDefault="009F0AD1" w:rsidP="005F19C5">
      <w:pPr>
        <w:shd w:val="clear" w:color="auto" w:fill="FFFFFF"/>
        <w:tabs>
          <w:tab w:val="left" w:pos="720"/>
        </w:tabs>
        <w:spacing w:after="0" w:line="360" w:lineRule="auto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забезпечує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виконання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заходів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для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надання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соціальних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психолого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педагогічних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послуг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здобувачам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вчинили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стали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його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свідками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постраждали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)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далі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Заходи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).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    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Заходи здійснюються заступником директора з виховної роботи у взаємодії з практичним психологом та затверджуються директором закладу.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      3. З метою виконання Заходів можна запроваджувати консультаційні години у практичного психолога, створювати скриньки довіри, оприлюднювати телефони довіри.</w:t>
      </w:r>
    </w:p>
    <w:p w:rsidR="009F0AD1" w:rsidRPr="004004DB" w:rsidRDefault="009F0AD1" w:rsidP="004004DB">
      <w:pPr>
        <w:shd w:val="clear" w:color="auto" w:fill="FFFFFF"/>
        <w:tabs>
          <w:tab w:val="left" w:pos="720"/>
        </w:tabs>
        <w:spacing w:after="0" w:line="360" w:lineRule="auto"/>
        <w:jc w:val="center"/>
        <w:outlineLvl w:val="0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4004DB">
        <w:rPr>
          <w:rFonts w:ascii="Times New Roman" w:hAnsi="Times New Roman"/>
          <w:b/>
          <w:color w:val="333333"/>
          <w:sz w:val="32"/>
          <w:szCs w:val="32"/>
          <w:lang w:eastAsia="ru-RU"/>
        </w:rPr>
        <w:t>Відповідальність осіб причетних до булінгу (цькування)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jc w:val="both"/>
        <w:outlineLvl w:val="0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1. Відповідальність за булінг (цькування) встановлена статтею 173 п.4 Кодексу України про адміністративні правопорушення такого змісту: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br/>
        <w:t>«Стаття 173 п.4» .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004DB">
        <w:rPr>
          <w:rFonts w:ascii="Times New Roman" w:hAnsi="Times New Roman"/>
          <w:b/>
          <w:color w:val="333333"/>
          <w:sz w:val="28"/>
          <w:szCs w:val="28"/>
          <w:lang w:eastAsia="ru-RU"/>
        </w:rPr>
        <w:t>Булінг</w:t>
      </w:r>
      <w:r w:rsidRPr="00FE7C5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b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b/>
          <w:color w:val="333333"/>
          <w:sz w:val="28"/>
          <w:szCs w:val="28"/>
          <w:lang w:eastAsia="ru-RU"/>
        </w:rPr>
        <w:t>),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тобто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діяння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учасників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освітнього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процесу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полягають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психологічному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фізичному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економічному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сексуальному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насильстві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числі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із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застосуванням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засобів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електронних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комунікацій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що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вчиняються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стосовно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малолітньої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неповнолітньої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особи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такою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стосовно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інших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учасників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освітнього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процесу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внаслідок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могла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заподіяна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шкода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психічному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фізичному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здоров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’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потерпілого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–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тягне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накладення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штрафу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’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ятдесяти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неоподатковуваних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мінімумів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доходів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громадян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громадські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роботи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строк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двадцяти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сорока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годин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Діяння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передбачене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частиною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першою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цієї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статті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вчинене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групою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осіб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повторно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протягом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року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після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накладення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адміністративного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стягнення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–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тягне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накладення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штрафу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двохсот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неоподатковуваних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мінімумів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доходів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громадян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громадські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роботи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строк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сорока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шістдесяти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годин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Діяння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передбачене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частиною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першою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цієї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статті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вчинене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малолітніми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неповнолітніми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особами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віком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чотирнадцяти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шістнадцяти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, –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тягне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накладення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штрафу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батьків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осіб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їх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замінюють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’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ятдесяти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неоподатковуваних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мінімумів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доходів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громадян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громадські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роботи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строк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двадцяти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сорока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годин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Діяння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передбачене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частиною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другою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цієї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статті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вчинене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малолітньою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неповнолітньою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віком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чотирнадцяти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шістнадцяти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–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тягне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накладення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штрафу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батьків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осіб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їх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замінюють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двохсот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неоподатковуваних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мінімумів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доходів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громадян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громадські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роботи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строк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сорока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шістдесяти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годин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Неповідомлення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директором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закладу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уповноваженим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підрозділам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органів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Національної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поліції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України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випадки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учасника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освітнього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процесу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тягне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собою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накладення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штрафу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’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ятдесяти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неоподатковуваних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мінімумів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доходів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громадян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виправні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роботи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строк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одного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місяця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відрахуванням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двадцяти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процентів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заробітку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0AD1" w:rsidRPr="00FE7C50" w:rsidRDefault="009F0AD1" w:rsidP="004004DB">
      <w:pPr>
        <w:shd w:val="clear" w:color="auto" w:fill="FFFFFF"/>
        <w:tabs>
          <w:tab w:val="left" w:pos="720"/>
        </w:tabs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0AD1" w:rsidRPr="004004DB" w:rsidRDefault="009F0AD1" w:rsidP="004004DB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9F0AD1" w:rsidRPr="004004DB" w:rsidRDefault="009F0AD1" w:rsidP="004004DB">
      <w:pPr>
        <w:shd w:val="clear" w:color="auto" w:fill="FFFFFF"/>
        <w:spacing w:after="0" w:line="360" w:lineRule="auto"/>
        <w:jc w:val="both"/>
        <w:outlineLvl w:val="0"/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</w:pP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Порядок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подання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та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розгляду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заяв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про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випадки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булінгу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в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закладі</w:t>
      </w:r>
      <w:r w:rsidRPr="004004DB">
        <w:rPr>
          <w:rFonts w:ascii="inherit" w:hAnsi="inherit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004DB">
        <w:rPr>
          <w:rFonts w:ascii="inherit" w:eastAsia="Times New Roman" w:hAnsi="inherit" w:cs="Arial" w:hint="eastAsia"/>
          <w:b/>
          <w:color w:val="333333"/>
          <w:kern w:val="36"/>
          <w:sz w:val="28"/>
          <w:szCs w:val="28"/>
          <w:lang w:eastAsia="ru-RU"/>
        </w:rPr>
        <w:t>освіти</w:t>
      </w:r>
    </w:p>
    <w:p w:rsidR="009F0AD1" w:rsidRPr="00FE7C50" w:rsidRDefault="009F0AD1" w:rsidP="00FE7C50">
      <w:pPr>
        <w:shd w:val="clear" w:color="auto" w:fill="FFFFFF"/>
        <w:spacing w:after="0" w:line="48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br/>
        <w:t>Закон України "Про внесення змін до деяких законодавчих актів України щодо протидії булінгу (цькуванню)" </w:t>
      </w:r>
      <w:r w:rsidRPr="00C952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Київ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952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18 грудня 2018 року</w:t>
      </w:r>
      <w:r w:rsidRPr="00C9528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952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2657-VIII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;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Закон України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E7C5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«</w:t>
      </w:r>
      <w:r w:rsidRPr="00FE7C50">
        <w:rPr>
          <w:rFonts w:ascii="Times New Roman" w:hAnsi="Times New Roman"/>
          <w:bCs/>
          <w:color w:val="212529"/>
          <w:sz w:val="28"/>
          <w:szCs w:val="28"/>
          <w:lang w:eastAsia="ru-RU"/>
        </w:rPr>
        <w:t>Деякі питання реагування на випадки булінгу (цькування) та застосування заходів виховного впливу в закладах освіти</w:t>
      </w:r>
      <w:r w:rsidRPr="00FE7C50">
        <w:rPr>
          <w:rFonts w:ascii="Times New Roman" w:hAnsi="Times New Roman"/>
          <w:bCs/>
          <w:color w:val="212529"/>
          <w:sz w:val="28"/>
          <w:szCs w:val="28"/>
          <w:lang w:val="uk-UA" w:eastAsia="ru-RU"/>
        </w:rPr>
        <w:t>»</w:t>
      </w:r>
      <w:r w:rsidRPr="00FE7C50">
        <w:rPr>
          <w:rFonts w:ascii="Times New Roman" w:hAnsi="Times New Roman"/>
          <w:bCs/>
          <w:sz w:val="28"/>
          <w:szCs w:val="28"/>
          <w:lang w:eastAsia="ru-RU"/>
        </w:rPr>
        <w:t>28.12.2019  № 1646</w:t>
      </w:r>
    </w:p>
    <w:p w:rsidR="009F0AD1" w:rsidRPr="00FE7C50" w:rsidRDefault="009F0AD1" w:rsidP="005F19C5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5F19C5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Процедура подання  (з дотриманням конфіденційності) заяви про випадки булінгу (цькування)</w:t>
      </w:r>
    </w:p>
    <w:p w:rsidR="009F0AD1" w:rsidRDefault="009F0AD1" w:rsidP="00FE7C5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Усі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здобувачі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педагогічні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працівники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закладу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батьки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та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інші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учасники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освітнього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процесу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повинні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обов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’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язково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повідомити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директора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навчального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закладу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випадки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булінгу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цькування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учасниками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свідками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вони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стали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підозрюють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його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вчинення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відношенню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інших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осіб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зовнішніми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ознаками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або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про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які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отримали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достовірну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інформацію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інших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осіб</w:t>
      </w:r>
      <w:r w:rsidRPr="00FE7C5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На ім’я директора закладу пишеться заява (конфіденційність гарантується) про випадок боулінгу (цькування).</w:t>
      </w: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5F19C5">
        <w:rPr>
          <w:rFonts w:ascii="Times New Roman" w:hAnsi="Times New Roman"/>
          <w:color w:val="333333"/>
          <w:sz w:val="28"/>
          <w:szCs w:val="28"/>
          <w:lang w:val="uk-UA" w:eastAsia="ru-RU"/>
        </w:rPr>
        <w:t>3.Директор закладу видає наказ про проведення розслідування та створення комісії з розгляду випадку булінгу (цькування), скликає її засідання.</w:t>
      </w: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4.  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До складу такої комісії входять педагогічні працівники (у тому числі психолог, соціальний педагог), батьки постраждалого та булерів, керівник навчального закладу та інші зацікавлені особи.</w:t>
      </w: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5F19C5">
        <w:rPr>
          <w:rFonts w:ascii="Times New Roman" w:hAnsi="Times New Roman"/>
          <w:color w:val="333333"/>
          <w:sz w:val="28"/>
          <w:szCs w:val="28"/>
          <w:lang w:val="uk-UA" w:eastAsia="ru-RU"/>
        </w:rPr>
        <w:t>5.Рішення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9F0AD1" w:rsidRDefault="009F0AD1" w:rsidP="005F19C5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  <w:r w:rsidRPr="005F19C5">
        <w:rPr>
          <w:rFonts w:ascii="Times New Roman" w:hAnsi="Times New Roman"/>
          <w:color w:val="333333"/>
          <w:sz w:val="28"/>
          <w:szCs w:val="28"/>
          <w:lang w:val="uk-UA" w:eastAsia="ru-RU"/>
        </w:rPr>
        <w:br/>
      </w:r>
      <w:r w:rsidRPr="005F19C5">
        <w:rPr>
          <w:rFonts w:ascii="Times New Roman" w:hAnsi="Times New Roman"/>
          <w:b/>
          <w:color w:val="333333"/>
          <w:sz w:val="28"/>
          <w:szCs w:val="28"/>
          <w:lang w:eastAsia="ru-RU"/>
        </w:rPr>
        <w:t>Порядок реагування на доведені випадки булінгу (цькування) та відповідальність осіб, причетних до булінгу</w:t>
      </w:r>
    </w:p>
    <w:p w:rsidR="009F0AD1" w:rsidRDefault="009F0AD1" w:rsidP="005F19C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1. 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Директор закладу має розглянути зверненн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 у встановленому порядку.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2. 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Директор закладу створює комісію з розгляду випадків булінгу, яка з’ясовує обставини булінгу.</w:t>
      </w:r>
    </w:p>
    <w:p w:rsidR="009F0AD1" w:rsidRDefault="009F0AD1" w:rsidP="005F19C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5F19C5">
        <w:rPr>
          <w:rFonts w:ascii="Times New Roman" w:hAnsi="Times New Roman"/>
          <w:color w:val="333333"/>
          <w:sz w:val="28"/>
          <w:szCs w:val="28"/>
          <w:lang w:val="uk-UA" w:eastAsia="ru-RU"/>
        </w:rPr>
        <w:br/>
        <w:t>3.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5F19C5">
        <w:rPr>
          <w:rFonts w:ascii="Times New Roman" w:hAnsi="Times New Roman"/>
          <w:color w:val="333333"/>
          <w:sz w:val="28"/>
          <w:szCs w:val="28"/>
          <w:lang w:val="uk-UA" w:eastAsia="ru-RU"/>
        </w:rPr>
        <w:t>Якщо комісія визнала, що це був булінг,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</w:p>
    <w:p w:rsidR="009F0AD1" w:rsidRPr="005F19C5" w:rsidRDefault="009F0AD1" w:rsidP="005F19C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4. </w:t>
      </w:r>
      <w:r w:rsidRPr="004004DB">
        <w:rPr>
          <w:rFonts w:ascii="Times New Roman" w:hAnsi="Times New Roman"/>
          <w:color w:val="333333"/>
          <w:sz w:val="28"/>
          <w:szCs w:val="28"/>
          <w:lang w:eastAsia="ru-RU"/>
        </w:rPr>
        <w:t>Особи, які за результатами розслідування є причетними до булінгу,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  <w:r w:rsidRPr="002E39C1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9F0AD1" w:rsidRDefault="009F0AD1" w:rsidP="004004DB">
      <w:pPr>
        <w:spacing w:line="360" w:lineRule="auto"/>
      </w:pPr>
    </w:p>
    <w:sectPr w:rsidR="009F0AD1" w:rsidSect="004004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371"/>
    <w:multiLevelType w:val="multilevel"/>
    <w:tmpl w:val="A73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A77E1"/>
    <w:multiLevelType w:val="multilevel"/>
    <w:tmpl w:val="9292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AF9"/>
    <w:rsid w:val="00012705"/>
    <w:rsid w:val="002E39C1"/>
    <w:rsid w:val="004004DB"/>
    <w:rsid w:val="005F19C5"/>
    <w:rsid w:val="00842FF7"/>
    <w:rsid w:val="00844488"/>
    <w:rsid w:val="009F0AD1"/>
    <w:rsid w:val="00A609E5"/>
    <w:rsid w:val="00AF7F1C"/>
    <w:rsid w:val="00C35DDD"/>
    <w:rsid w:val="00C40295"/>
    <w:rsid w:val="00C95283"/>
    <w:rsid w:val="00D66AF9"/>
    <w:rsid w:val="00F809DB"/>
    <w:rsid w:val="00F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6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6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6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6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16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788</Words>
  <Characters>4496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Paradise</cp:lastModifiedBy>
  <cp:revision>4</cp:revision>
  <dcterms:created xsi:type="dcterms:W3CDTF">2021-12-06T08:51:00Z</dcterms:created>
  <dcterms:modified xsi:type="dcterms:W3CDTF">2002-01-01T01:56:00Z</dcterms:modified>
</cp:coreProperties>
</file>