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3"/>
        <w:gridCol w:w="3742"/>
      </w:tblGrid>
      <w:tr w:rsidR="00FE7B3B" w:rsidRPr="00FE7B3B" w:rsidTr="00FE7B3B">
        <w:tc>
          <w:tcPr>
            <w:tcW w:w="12135" w:type="dxa"/>
            <w:gridSpan w:val="2"/>
            <w:hideMark/>
          </w:tcPr>
          <w:p w:rsidR="00FE7B3B" w:rsidRPr="00FE7B3B" w:rsidRDefault="00FE7B3B" w:rsidP="00FE7B3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B3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B3B" w:rsidRPr="00FE7B3B" w:rsidTr="00FE7B3B">
        <w:tc>
          <w:tcPr>
            <w:tcW w:w="12135" w:type="dxa"/>
            <w:gridSpan w:val="2"/>
            <w:hideMark/>
          </w:tcPr>
          <w:p w:rsidR="00FE7B3B" w:rsidRPr="00FE7B3B" w:rsidRDefault="00FE7B3B" w:rsidP="00FE7B3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МІНІСТЕРСТВО ОСВІТИ І НАУКИ УКРАЇНИ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МІНІСТЕРСТВО ЮСТИЦІЇ УКРАЇНИ</w:t>
            </w:r>
          </w:p>
        </w:tc>
      </w:tr>
      <w:tr w:rsidR="00FE7B3B" w:rsidRPr="00FE7B3B" w:rsidTr="00FE7B3B">
        <w:tc>
          <w:tcPr>
            <w:tcW w:w="12135" w:type="dxa"/>
            <w:gridSpan w:val="2"/>
            <w:hideMark/>
          </w:tcPr>
          <w:p w:rsidR="00FE7B3B" w:rsidRPr="00FE7B3B" w:rsidRDefault="00FE7B3B" w:rsidP="00FE7B3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proofErr w:type="gramEnd"/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АКАЗ</w:t>
            </w:r>
          </w:p>
        </w:tc>
      </w:tr>
      <w:tr w:rsidR="00FE7B3B" w:rsidRPr="00FE7B3B" w:rsidTr="00FE7B3B">
        <w:tc>
          <w:tcPr>
            <w:tcW w:w="12135" w:type="dxa"/>
            <w:gridSpan w:val="2"/>
            <w:hideMark/>
          </w:tcPr>
          <w:p w:rsidR="00FE7B3B" w:rsidRPr="00FE7B3B" w:rsidRDefault="00FE7B3B" w:rsidP="00FE7B3B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19.12.2013  № 1794/2691/5</w:t>
            </w:r>
          </w:p>
        </w:tc>
      </w:tr>
      <w:tr w:rsidR="00FE7B3B" w:rsidRPr="00FE7B3B" w:rsidTr="00FE7B3B">
        <w:tc>
          <w:tcPr>
            <w:tcW w:w="3000" w:type="pct"/>
            <w:hideMark/>
          </w:tcPr>
          <w:p w:rsidR="00FE7B3B" w:rsidRPr="00FE7B3B" w:rsidRDefault="00FE7B3B" w:rsidP="00FE7B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n3"/>
            <w:bookmarkEnd w:id="0"/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000" w:type="pct"/>
            <w:hideMark/>
          </w:tcPr>
          <w:p w:rsidR="00FE7B3B" w:rsidRPr="00FE7B3B" w:rsidRDefault="00FE7B3B" w:rsidP="00FE7B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Зареєстровано в Міністерстві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юстиції України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грудня 2013 р.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 № 2192/24724</w:t>
            </w:r>
          </w:p>
        </w:tc>
      </w:tr>
    </w:tbl>
    <w:p w:rsidR="00FE7B3B" w:rsidRPr="00FE7B3B" w:rsidRDefault="00FE7B3B" w:rsidP="00FE7B3B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" w:name="n4"/>
      <w:bookmarkEnd w:id="1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Про затвердження </w:t>
      </w:r>
      <w:proofErr w:type="gramStart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Положення</w:t>
      </w:r>
      <w:proofErr w:type="gramEnd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 навчальний центр при кримінально-виконавчій установі закритого типу</w:t>
      </w:r>
    </w:p>
    <w:p w:rsidR="00FE7B3B" w:rsidRPr="00FE7B3B" w:rsidRDefault="00FE7B3B" w:rsidP="00FE7B3B">
      <w:pPr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2" w:name="n148"/>
      <w:bookmarkEnd w:id="2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{Із змінами, внесеними згідно з Наказом Міністерства освіти і науки</w:t>
      </w:r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hyperlink r:id="rId5" w:anchor="n2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965/2076/5 від 03.07.2017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}</w:t>
      </w:r>
    </w:p>
    <w:p w:rsidR="00B1618F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3" w:name="n5"/>
      <w:bookmarkEnd w:id="3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Відповідно до статей 125, 126 </w:t>
      </w:r>
      <w:hyperlink r:id="rId6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Кримінально-виконавчого кодексу України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статті 11 </w:t>
      </w:r>
      <w:hyperlink r:id="rId7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Закону України «Про професійно-технічну освіту»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8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Положення про професійно-технічний навчальний заклад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затвердженого постановою Кабінету Міні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ів України від 05 серпня 1998 року № 1240, з метою врегулювання питань, пов'язаних з організацією професійно-технічного навчання засуджених до позбавлення волі, які відбувають покарання у виправних колоніях, 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7B3B">
        <w:rPr>
          <w:rFonts w:ascii="Times New Roman" w:eastAsia="Times New Roman" w:hAnsi="Times New Roman" w:cs="Times New Roman"/>
          <w:b/>
          <w:bCs/>
          <w:color w:val="333333"/>
          <w:spacing w:val="30"/>
          <w:sz w:val="28"/>
          <w:szCs w:val="28"/>
        </w:rPr>
        <w:t>НАКАЗУЄМО</w:t>
      </w:r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4" w:name="n6"/>
      <w:bookmarkEnd w:id="4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1. Затвердити </w:t>
      </w:r>
      <w:hyperlink r:id="rId9" w:anchor="n15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Положення про навчальний центр при кримінально-виконавчій установі закритого типу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що додається.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5" w:name="n7"/>
      <w:bookmarkEnd w:id="5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2. Визнати таким, що втратив чинність, </w:t>
      </w:r>
      <w:hyperlink r:id="rId10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наказ Міністерства освіти і науки України, Державного департаменту </w:t>
        </w:r>
        <w:proofErr w:type="gramStart"/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Укра</w:t>
        </w:r>
        <w:proofErr w:type="gramEnd"/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їни з питань виконання покарань від 26 лютого 2004 року № 153/32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 «Про затвердження Положення про навчальний центр при установі виконання покарань», зареєстрований у Міністерстві юстиції України 12 березня 2004 року за № 313/8912 (зі змінами).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6" w:name="n8"/>
      <w:bookmarkEnd w:id="6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Департаменту професійно-технічної освіти Міністерства освіти і науки України (Супрун В.В.) подати цей наказ на державну реєстрацію відповідно </w:t>
      </w:r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до </w:t>
      </w:r>
      <w:hyperlink r:id="rId11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Указу Президента України від 03 жовтня 1992 року № 493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 «Про державну реєстрацію нормативно-правових актів міністерств та інших органів виконавчої влади».</w:t>
      </w:r>
      <w:proofErr w:type="gramEnd"/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7" w:name="n9"/>
      <w:bookmarkEnd w:id="7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4. Цей наказ набирає чинності з дня його офіційного опублікування.</w:t>
      </w:r>
    </w:p>
    <w:p w:rsid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8" w:name="n10"/>
      <w:bookmarkEnd w:id="8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5. Контроль за виконанням цього наказу покласти на заступника Міністра освіти і науки України Жебровського Б.М. і заступника Голови Державної пенітенціарної служби України Дуку О.О.</w:t>
      </w:r>
    </w:p>
    <w:p w:rsidR="00B1618F" w:rsidRPr="00FE7B3B" w:rsidRDefault="00B1618F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2"/>
        <w:gridCol w:w="5429"/>
      </w:tblGrid>
      <w:tr w:rsidR="00FE7B3B" w:rsidRPr="00FE7B3B" w:rsidTr="00FE7B3B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7B3B" w:rsidRPr="00FE7B3B" w:rsidRDefault="00FE7B3B" w:rsidP="00FE7B3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n11"/>
            <w:bookmarkEnd w:id="9"/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Міні</w:t>
            </w:r>
            <w:proofErr w:type="gramStart"/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</w:t>
            </w:r>
            <w:proofErr w:type="gramEnd"/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освіти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 науки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7B3B" w:rsidRPr="00FE7B3B" w:rsidRDefault="00FE7B3B" w:rsidP="00FE7B3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Дмитро Табачник</w:t>
            </w:r>
          </w:p>
        </w:tc>
      </w:tr>
      <w:tr w:rsidR="00FE7B3B" w:rsidRPr="00FE7B3B" w:rsidTr="00FE7B3B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7B3B" w:rsidRPr="00FE7B3B" w:rsidRDefault="00FE7B3B" w:rsidP="00FE7B3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n12"/>
            <w:bookmarkEnd w:id="10"/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Міні</w:t>
            </w:r>
            <w:proofErr w:type="gramStart"/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</w:t>
            </w:r>
            <w:proofErr w:type="gramEnd"/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юстиції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7B3B" w:rsidRPr="00FE7B3B" w:rsidRDefault="00FE7B3B" w:rsidP="00FE7B3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Олена Лукаш</w:t>
            </w:r>
          </w:p>
        </w:tc>
      </w:tr>
    </w:tbl>
    <w:p w:rsidR="00FE7B3B" w:rsidRP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</w:pPr>
      <w:bookmarkStart w:id="11" w:name="n147"/>
      <w:bookmarkEnd w:id="11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7"/>
        <w:gridCol w:w="3744"/>
      </w:tblGrid>
      <w:tr w:rsidR="00FE7B3B" w:rsidRPr="00FE7B3B" w:rsidTr="00FE7B3B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7B3B" w:rsidRPr="00FE7B3B" w:rsidRDefault="00FE7B3B" w:rsidP="00FE7B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ПОГОДЖЕНО: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Голова</w:t>
            </w:r>
            <w:proofErr w:type="gramStart"/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t>ержавної пенітенціарної служби України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7B3B" w:rsidRPr="00FE7B3B" w:rsidRDefault="00FE7B3B" w:rsidP="00FE7B3B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О.В. Лісіцков</w:t>
            </w:r>
          </w:p>
        </w:tc>
      </w:tr>
    </w:tbl>
    <w:p w:rsidR="00FE7B3B" w:rsidRPr="00FE7B3B" w:rsidRDefault="00FE7B3B" w:rsidP="00FE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2" w:name="n146"/>
      <w:bookmarkEnd w:id="12"/>
      <w:r w:rsidRPr="00FE7B3B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0" o:hrstd="t" o:hrnoshade="t" o:hr="t" fillcolor="black" stroked="f"/>
        </w:pict>
      </w:r>
    </w:p>
    <w:p w:rsid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13" w:name="n145"/>
      <w:bookmarkEnd w:id="13"/>
    </w:p>
    <w:p w:rsid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Default="00FE7B3B" w:rsidP="00FE7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7"/>
        <w:gridCol w:w="3744"/>
      </w:tblGrid>
      <w:tr w:rsidR="00FE7B3B" w:rsidRPr="00FE7B3B" w:rsidTr="00FE7B3B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7B3B" w:rsidRPr="00FE7B3B" w:rsidRDefault="00FE7B3B" w:rsidP="00FE7B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n13"/>
            <w:bookmarkEnd w:id="14"/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7B3B" w:rsidRPr="00FE7B3B" w:rsidRDefault="00FE7B3B" w:rsidP="00FE7B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ЗАТВЕРДЖЕНО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Наказ Міністерства освіти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 науки України,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Міністерства юстиції України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19.12.2013  № 1794/2691/5</w:t>
            </w:r>
          </w:p>
        </w:tc>
      </w:tr>
      <w:tr w:rsidR="00FE7B3B" w:rsidRPr="00FE7B3B" w:rsidTr="00FE7B3B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7B3B" w:rsidRPr="00FE7B3B" w:rsidRDefault="00FE7B3B" w:rsidP="00FE7B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n14"/>
            <w:bookmarkEnd w:id="15"/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7B3B" w:rsidRPr="00FE7B3B" w:rsidRDefault="00FE7B3B" w:rsidP="00FE7B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Зареєстровано в Міністерстві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юстиції України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грудня 2013 р.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 № 2192/24724</w:t>
            </w:r>
          </w:p>
        </w:tc>
      </w:tr>
    </w:tbl>
    <w:p w:rsidR="00FE7B3B" w:rsidRPr="00FE7B3B" w:rsidRDefault="00FE7B3B" w:rsidP="00FE7B3B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6" w:name="n15"/>
      <w:bookmarkEnd w:id="16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ПОЛОЖЕННЯ</w:t>
      </w:r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 навчальний центр при кримінально-виконавчій установі закритого типу</w:t>
      </w:r>
    </w:p>
    <w:p w:rsidR="00FE7B3B" w:rsidRDefault="00FE7B3B" w:rsidP="00FE7B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</w:pPr>
      <w:bookmarkStart w:id="17" w:name="n162"/>
      <w:bookmarkEnd w:id="17"/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{У тексті Положення слова "територіальні органи</w:t>
      </w:r>
      <w:proofErr w:type="gramStart"/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Д</w:t>
      </w:r>
      <w:proofErr w:type="gramEnd"/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ержавної пенітенціарної служби України" в усіх відмінках замінено словами "міжрегіональні управління з питань виконання кримінальних покарань та пробації Міністерства юстиції" у відповідних відмінках згідно з Наказом Міністерства освіти і науки </w:t>
      </w:r>
      <w:hyperlink r:id="rId12" w:anchor="n37" w:tgtFrame="_blank" w:history="1">
        <w:r w:rsidRPr="00FE7B3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 xml:space="preserve">№ 965/2076/5 </w:t>
        </w:r>
        <w:proofErr w:type="gramStart"/>
        <w:r w:rsidRPr="00FE7B3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від 03.07.2017</w:t>
        </w:r>
      </w:hyperlink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}</w:t>
      </w:r>
      <w:proofErr w:type="gramEnd"/>
    </w:p>
    <w:p w:rsidR="00B1618F" w:rsidRPr="00FE7B3B" w:rsidRDefault="00B1618F" w:rsidP="00FE7B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FE7B3B" w:rsidRPr="00FE7B3B" w:rsidRDefault="00FE7B3B" w:rsidP="00FE7B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8" w:name="n16"/>
      <w:bookmarkEnd w:id="18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Загальні положення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9" w:name="n17"/>
      <w:bookmarkEnd w:id="19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Навчальний центр при кримінально-виконавчій установі закритого типу (далі - Центр) є державним професійно-технічним навчальним закладом другого атестаційного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івня, що забезпечує реалізацію потреб засуджених у професійно-технічній освіті, оволодінні робітничими професіями відповідно до їх покликань, інтересів, здібностей, стану здоров’я, а також їх перепідготовці та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ідвищенні кваліфікації.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0" w:name="n18"/>
      <w:bookmarkEnd w:id="20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2. Головним завданням Центру є формування у засуджених (далі - слухач) професійних умінь і навичок, необхідних для виконання певної роботи чи групи робі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1" w:name="n19"/>
      <w:bookmarkEnd w:id="21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3. Центр у своїй діяльності керується </w:t>
      </w:r>
      <w:hyperlink r:id="rId13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Конституцією України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14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Кримінально-виконавчим кодексом України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Законами України </w:t>
      </w:r>
      <w:hyperlink r:id="rId15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«Про освіту»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16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«Про професійно-технічну освіту»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17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Положенням про професійно-технічний навчальний заклад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затвердженим постановою Кабінету Міні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ів України від 05 серпня 1998 року № 1240, </w:t>
      </w:r>
      <w:hyperlink r:id="rId18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Положенням про організацію навчально-виробничого процесу </w:t>
        </w:r>
        <w:proofErr w:type="gramStart"/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 професійно-технічних навчальних закладах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затвердженим наказом Міністерства освіти і науки України від 30 травня 2006 року № 419, зареєстрованим у Міністерстві </w:t>
      </w:r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юстиції України 15 червня 2006 року за № 711/12585, іншими актами, які регулюють відносини у сфері освіти, та цим Положенням.</w:t>
      </w:r>
      <w:proofErr w:type="gramEnd"/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2" w:name="n20"/>
      <w:bookmarkEnd w:id="22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4. Засновниками Центру є Міністерство освіти і науки України та Міністерство юстиції України (далі - засновники).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3" w:name="n21"/>
      <w:bookmarkEnd w:id="23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Створення, ліквідація, реорганізація, відкриття Центру та його філій здійснюється засновниками.</w:t>
      </w:r>
    </w:p>
    <w:p w:rsidR="00FE7B3B" w:rsidRPr="00FE7B3B" w:rsidRDefault="00FE7B3B" w:rsidP="00FE7B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24" w:name="n149"/>
      <w:bookmarkEnd w:id="24"/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{Пункт 4 розділу I в редакції Наказу Міністерства освіти і науки </w:t>
      </w:r>
      <w:hyperlink r:id="rId19" w:anchor="n16" w:tgtFrame="_blank" w:history="1">
        <w:r w:rsidRPr="00FE7B3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№ 965/2076/5 від 03.07.2017</w:t>
        </w:r>
      </w:hyperlink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}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5" w:name="n22"/>
      <w:bookmarkEnd w:id="25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Центр розпочинає діяльність за умови наявності матеріально-технічної, навчально-методичної бази, педагогічних кадрів і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ісля одержання ліцензії на провадження освітньої діяльності у сфері професійно-технічної освіти, яка видається відповідно до </w:t>
      </w:r>
      <w:hyperlink r:id="rId20" w:anchor="n12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Ліцензійних умов провадження освітньої діяльності закладів освіти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затверджених постановою Кабінету Міні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ів України від 30 грудня 2015 року № 1187.</w:t>
      </w:r>
    </w:p>
    <w:p w:rsidR="00FE7B3B" w:rsidRPr="00FE7B3B" w:rsidRDefault="00FE7B3B" w:rsidP="00FE7B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26" w:name="n150"/>
      <w:bookmarkEnd w:id="26"/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{Пункт 5 розділу I в редакції Наказу Міністерства освіти і науки </w:t>
      </w:r>
      <w:hyperlink r:id="rId21" w:anchor="n16" w:tgtFrame="_blank" w:history="1">
        <w:r w:rsidRPr="00FE7B3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№ 965/2076/5 від 03.07.2017</w:t>
        </w:r>
      </w:hyperlink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}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7" w:name="n23"/>
      <w:bookmarkEnd w:id="27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Управління, організація та контроль за діяльністю Центру здійснюються органами управління професійно-технічною освітою відповідно до повноважень, передбачених статтями 6-10 </w:t>
      </w:r>
      <w:hyperlink r:id="rId22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Закону України «Про професійно-технічну освіту»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з урахуванням особливостей функціонування кримінально-виконавчої установи закритого типу (далі - Установа).</w:t>
      </w:r>
      <w:proofErr w:type="gramEnd"/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8" w:name="n24"/>
      <w:bookmarkEnd w:id="28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Центр діє на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ідставі статуту, що розробляється Центром разом із засновниками відповідно до Законів України </w:t>
      </w:r>
      <w:hyperlink r:id="rId23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"Про освіту"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24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"Про професійно-технічну освіту"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25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Положення про професійно-технічний навчальний заклад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затвердженого постановою Кабінету Міністрів України від 05 серпня 1998 року № 1240, цього Положення, погоджується Міністерством юстиції України та затверджується Міністерством освіти і науки України в установленому законодавством порядку.</w:t>
      </w:r>
    </w:p>
    <w:p w:rsidR="00FE7B3B" w:rsidRPr="00FE7B3B" w:rsidRDefault="00FE7B3B" w:rsidP="00FE7B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29" w:name="n151"/>
      <w:bookmarkEnd w:id="29"/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{Пункт 7 розділу I в редакції Наказу Міністерства освіти і науки </w:t>
      </w:r>
      <w:hyperlink r:id="rId26" w:anchor="n20" w:tgtFrame="_blank" w:history="1">
        <w:r w:rsidRPr="00FE7B3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№ 965/2076/5 від 03.07.2017</w:t>
        </w:r>
      </w:hyperlink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}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0" w:name="n25"/>
      <w:bookmarkEnd w:id="30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Вищим колегіальним органом громадського самоврядування Центру є загальні збори колективу Центру, які вирішують у межах своїх повноважень питання навчально-виробничої, навчально-виховної, навчально-методичної та фінансово-господарської діяльності Центру, рекомендують кандидатури на посаду директора Центру.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ішення загальних зборів колективу Центру мають дорадчий характер.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1" w:name="n26"/>
      <w:bookmarkEnd w:id="31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9. Керівництво діяльністю Центру здійснює директор, якого призначає Міністерство освіти і науки України за результатами конкурсу шляхом укладання з ним договору (контракту).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2" w:name="n27"/>
      <w:bookmarkEnd w:id="32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Призначення директора Центру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посаду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звільнення його з посади здійснюються відповідно до законодавства.</w:t>
      </w:r>
    </w:p>
    <w:p w:rsidR="00FE7B3B" w:rsidRPr="00FE7B3B" w:rsidRDefault="00FE7B3B" w:rsidP="00FE7B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33" w:name="n152"/>
      <w:bookmarkEnd w:id="33"/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{Пункт 9 розділу I із змінами, внесеними згідно з Наказом Міністерства освіти і науки </w:t>
      </w:r>
      <w:hyperlink r:id="rId27" w:anchor="n22" w:tgtFrame="_blank" w:history="1">
        <w:r w:rsidRPr="00FE7B3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№ 965/2076/5 від 03.07.2017</w:t>
        </w:r>
      </w:hyperlink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}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4" w:name="n28"/>
      <w:bookmarkEnd w:id="34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 Професійно-технічна освіта в Центрі здійснюється за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денною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вечірньою (змінною) формами навчання та за індивідуальними навчальними планами.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5" w:name="n29"/>
      <w:bookmarkEnd w:id="35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11. До основних повноважень і напрямів діяльності Центру належать: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6" w:name="n30"/>
      <w:bookmarkEnd w:id="36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організація навчально-виховного процесу, вибі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 та методів навчання;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7" w:name="n31"/>
      <w:bookmarkEnd w:id="37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навчально-виробнича, навчально-виховна, навчально-методична, фінансово-господарська та виробничо-комерційна діяльність;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8" w:name="n32"/>
      <w:bookmarkEnd w:id="38"/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розробка робочих навчальних планів з професій та робочих навчальних програм з навчальних предметів на основі типових навчальних планів і типових навчальних програм, визначення регіонального компонента змісту професійно-технічної освіти, які затверджуються в установленому законодавством порядку;</w:t>
      </w:r>
      <w:proofErr w:type="gramEnd"/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9" w:name="n33"/>
      <w:bookmarkEnd w:id="39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розроблення правил прийому слухачі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Центру на основі типових правил прийому;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40" w:name="n34"/>
      <w:bookmarkEnd w:id="40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формування разом з органами управління професійно-технічною освітою та Установою планів прийому слухачів з урахуванням державного замовлення, потреб ринку праці та потреб громадян у професійно-технічній освіті і замовлень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ідприємств, установ, організацій;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41" w:name="n35"/>
      <w:bookmarkEnd w:id="41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атестація педагогічних працівникі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42" w:name="n36"/>
      <w:bookmarkEnd w:id="42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організація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ідвищення кваліфікації педагогічних працівників, у тому числі їх стажування на підприємствах, в установах, організаціях;</w:t>
      </w:r>
    </w:p>
    <w:p w:rsidR="00FE7B3B" w:rsidRPr="00FE7B3B" w:rsidRDefault="00FE7B3B" w:rsidP="00FE7B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43" w:name="n153"/>
      <w:bookmarkEnd w:id="43"/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{Абзац восьмий пункту 11 розділу I в редакції Наказу Міністерства освіти і науки </w:t>
      </w:r>
      <w:hyperlink r:id="rId28" w:anchor="n24" w:tgtFrame="_blank" w:history="1">
        <w:r w:rsidRPr="00FE7B3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№ 965/2076/5 від 03.07.2017</w:t>
        </w:r>
      </w:hyperlink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}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44" w:name="n37"/>
      <w:bookmarkEnd w:id="44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організація виробничого навчання слухачів на виробництв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45" w:name="n38"/>
      <w:bookmarkEnd w:id="45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забезпечення заходів з охорони праці слухачі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працівників;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46" w:name="n39"/>
      <w:bookmarkEnd w:id="46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матеріально-технічне забезпечення навчально-виховного процесу;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47" w:name="n40"/>
      <w:bookmarkEnd w:id="47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визначення структури і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штатного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розпису з урахуванням установленого фонду заробітної плати;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48" w:name="n41"/>
      <w:bookmarkEnd w:id="48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забезпечення якості професійного навчання та виховання слухачі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49" w:name="n156"/>
      <w:bookmarkEnd w:id="49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видача документів про освіту встановленого зразка.</w:t>
      </w:r>
    </w:p>
    <w:p w:rsidR="00FE7B3B" w:rsidRPr="00FE7B3B" w:rsidRDefault="00FE7B3B" w:rsidP="00FE7B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50" w:name="n154"/>
      <w:bookmarkEnd w:id="50"/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{Пункт 11 розділу I доповнено новим абзацом згідно з Наказом Міністерства освіти і науки </w:t>
      </w:r>
      <w:hyperlink r:id="rId29" w:anchor="n26" w:tgtFrame="_blank" w:history="1">
        <w:r w:rsidRPr="00FE7B3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№ 965/2076/5 від 03.07.2017</w:t>
        </w:r>
      </w:hyperlink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}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51" w:name="n42"/>
      <w:bookmarkEnd w:id="51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12. Центр є юридичною особою, має самостійний баланс, рахунки в органах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ержавної казначейської служби України, штамп, печатку із зображенням Державного Герба України і своїм найменуванням.</w:t>
      </w:r>
    </w:p>
    <w:p w:rsid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52" w:name="n43"/>
      <w:bookmarkEnd w:id="52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13. Центр вважається створеним чи таким, що припинив юридичну особу, з дати внесення відповідного запису до Єдиного державного реєстру юридичних осіб та фізичних осіб - підприємців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установленому законодавством порядку.</w:t>
      </w:r>
    </w:p>
    <w:p w:rsidR="00B1618F" w:rsidRPr="00FE7B3B" w:rsidRDefault="00B1618F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Pr="00FE7B3B" w:rsidRDefault="00FE7B3B" w:rsidP="00FE7B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53" w:name="n44"/>
      <w:bookmarkEnd w:id="53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 Педагогічні працівники Центру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54" w:name="n45"/>
      <w:bookmarkEnd w:id="54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До педагогічних працівників Центру належать викладачі, педагоги професійного навчання, вихователі, майстри виробничого навчання, старші майстри, старші майстри виробничого навчання, інструктори виробничого навчання, методисти, практичні психологи,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соц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іальні педагоги, керівники фізичного виховання, директори, заступники директорів та інші працівники, діяльність яких пов’язана з організацією і забезпеченням навчально-виховного процесу.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55" w:name="n46"/>
      <w:bookmarkEnd w:id="55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Педагогічною діяльністю в Центрі можуть займатися особи, які мають відповідну професійну освіту та професійно-педагогічну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ідготовку, моральні якості і фізичний стан яких дають змогу виконувати обов’язки педагогічного працівника.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56" w:name="n47"/>
      <w:bookmarkEnd w:id="56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3. Вимоги до педагогічних працівникі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Центру визначаються посадовими обов’язками, що затверджуються в установленому законодавством порядку.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57" w:name="n48"/>
      <w:bookmarkEnd w:id="57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4. Прийняття на роботу та звільнення з роботи педагогічних працівників Центру здійснюються директором Центру за погодженням з начальником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58" w:name="n49"/>
      <w:bookmarkEnd w:id="58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Директор Центру за погодженням з начальником Установи може залучати до педагогічної діяльності працівників Установи, інших організацій і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ідприємств на умовах сумісництва чи погодинної оплати праці в порядку, встановленому законодавством.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59" w:name="n50"/>
      <w:bookmarkEnd w:id="59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Педагогічні працівники Центру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ідлягають атестації в порядку, встановленому </w:t>
      </w:r>
      <w:hyperlink r:id="rId30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Типовим положенням про атестацію педагогічних працівників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затвердженим наказом Міністерства освіти і науки України від 06 жовтня 2010 року № 930, зареєстрованим у Міністерстві юстиції України 14 грудня 2010 року за № 1255/18550.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60" w:name="n51"/>
      <w:bookmarkEnd w:id="60"/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ішення атестаційної комісії є підставою для присвоєння педагогічному працівникові відповідної кваліфікаційної категорії, педагогічного звання або звільнення його з роботи у порядку, передбаченому законодавством.</w:t>
      </w:r>
    </w:p>
    <w:p w:rsidR="00FE7B3B" w:rsidRPr="00FE7B3B" w:rsidRDefault="00FE7B3B" w:rsidP="00FE7B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61" w:name="n155"/>
      <w:bookmarkEnd w:id="61"/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{Абзац другий пункту 6 розділу II із змінами, внесеними згідно з Наказом Міністерства освіти і науки </w:t>
      </w:r>
      <w:hyperlink r:id="rId31" w:anchor="n29" w:tgtFrame="_blank" w:history="1">
        <w:r w:rsidRPr="00FE7B3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№ 965/2076/5 від 03.07.2017</w:t>
        </w:r>
      </w:hyperlink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}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62" w:name="n52"/>
      <w:bookmarkEnd w:id="62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7. Педагогічні працівники Центру зобов’язані дотримуватися вимог режиму, встановленого в Установі.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63" w:name="n53"/>
      <w:bookmarkEnd w:id="63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За порушення вимог режиму, встановленого в Установі, педагогічні працівники не допускаються на територію Установи, про що адміністрація Установи повідомляє керівництво Центру та органи управління освітою Ради міні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ів Автономної Республіки Крим, обласних, Київської та Севастопольської міських державних адміністрацій.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64" w:name="n54"/>
      <w:bookmarkEnd w:id="64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8. Педагогічні працівники Центру залучаються адміністрацією Установи до соціально-виховної роботи із засудженими і можуть входити до складу педагогічної ради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65" w:name="n55"/>
      <w:bookmarkEnd w:id="65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9. Директор Центру: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66" w:name="n56"/>
      <w:bookmarkEnd w:id="66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організовує навчально-виробничий, навчально-виховний процес, забезпечує створення необхідних умов для підготовки, перепідготовки та підвищення кваліфікації робітників;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67" w:name="n57"/>
      <w:bookmarkEnd w:id="67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разом з начальником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 забезпечує створення необхідних умов для професійно-технічної освіти слухачів;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68" w:name="n58"/>
      <w:bookmarkEnd w:id="68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діє від імені Центру, представляє його у відносинах з підприємствами, установами, організаціями, відкриває рахунки в органах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ержавної казначейської служби України;</w:t>
      </w:r>
    </w:p>
    <w:p w:rsidR="00FE7B3B" w:rsidRPr="00FE7B3B" w:rsidRDefault="00FE7B3B" w:rsidP="00FE7B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69" w:name="n157"/>
      <w:bookmarkEnd w:id="69"/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{Абзац четвертий пункту 9 розділу II із змінами, внесеними згідно з Наказом Міністерства освіти і науки </w:t>
      </w:r>
      <w:hyperlink r:id="rId32" w:anchor="n29" w:tgtFrame="_blank" w:history="1">
        <w:r w:rsidRPr="00FE7B3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№ 965/2076/5 від 03.07.2017</w:t>
        </w:r>
      </w:hyperlink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}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70" w:name="n59"/>
      <w:bookmarkEnd w:id="70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відповідає за результати діяльності Центру;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71" w:name="n60"/>
      <w:bookmarkEnd w:id="71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за погодженням з начальником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 приймає на посади та звільняє з посад працівників Центру, затверджує відповідно до кваліфікаційних характеристик їхні посадові обов’язки, формує педагогічний колектив;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72" w:name="n61"/>
      <w:bookmarkEnd w:id="72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створює необхідні умови для творчості педагогічних працівників, для використання і впровадження ними прогресивних форм і методів навчання, розвитку інноваційної діяльності, проведення педагогічних експерименті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73" w:name="n62"/>
      <w:bookmarkEnd w:id="73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видає в межах своєї компетенції накази і розпорядження, заохочує працівникі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слухачів та застосовує до них передбачені законодавством стягнення;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74" w:name="n63"/>
      <w:bookmarkEnd w:id="74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затверджує в межах наявного фонду заробітної плати штатний розпис і чисельність працівникі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Центру;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75" w:name="n64"/>
      <w:bookmarkEnd w:id="75"/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установлю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є премії і доплати до посадових окладів і ставок заробітної плати працівників Центру за конкретні результати праці;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76" w:name="n65"/>
      <w:bookmarkEnd w:id="76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здійснює оцінку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івня професійної підготовки новоприбулих засуджених та надає рекомендації щодо їх подальшої підготовки;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77" w:name="n66"/>
      <w:bookmarkEnd w:id="77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надає допомогу адміністрації Установи у соціально-виховній роботі із засудженими і може входити до складу педагогічної ради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78" w:name="n67"/>
      <w:bookmarkEnd w:id="78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забезпечує дотримання педагогічними працівниками Центру вимог режиму, встановленого в Установі.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79" w:name="n68"/>
      <w:bookmarkEnd w:id="79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10. У разі неприбуття викладача (майстра виробничого навчання) на урок (заняття) та відсутності можливості його заміни директор Центру зобов’язаний негайно повідомити про це чергового помічника начальника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 або особу, яка виконує його обов’язки, та молодшого інспектора чергової зміни, який несе службу в Центрі.</w:t>
      </w:r>
    </w:p>
    <w:p w:rsid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80" w:name="n69"/>
      <w:bookmarkEnd w:id="80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11. Директор Центру щороку звітує перед загальними зборами колективу Центру.</w:t>
      </w:r>
    </w:p>
    <w:p w:rsidR="00B1618F" w:rsidRPr="00FE7B3B" w:rsidRDefault="00B1618F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Pr="00FE7B3B" w:rsidRDefault="00FE7B3B" w:rsidP="00FE7B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81" w:name="n70"/>
      <w:bookmarkEnd w:id="81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 Прийом слухачі</w:t>
      </w:r>
      <w:proofErr w:type="gramStart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до Центру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82" w:name="n71"/>
      <w:bookmarkEnd w:id="82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Правила прийому слухачів до Центру на наступний календарний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ік розробляються Центром на основі </w:t>
      </w:r>
      <w:hyperlink r:id="rId33" w:anchor="n15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Типових правил прийому до професійно-технічних навчальних закладів України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затверджених наказом Міністерства освіти і науки України від 14 травня 2013 року № 499, зареєстрованих в Міністерстві юстиції України 29 травня 2013 року за № 823/23355, та затверджуються директором Центру за погодженням з органами управління освітою Ради міні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ів Автономної Республіки Крим, обласних, Київської та Севастопольської міських державних адміністрацій.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83" w:name="n72"/>
      <w:bookmarkEnd w:id="83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Прийом слухачів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Центру здійснюється приймальною комісією.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84" w:name="n73"/>
      <w:bookmarkEnd w:id="84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Очолює приймальну комісію директор Центру, який затверджує її склад і порядок роботи.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85" w:name="n74"/>
      <w:bookmarkEnd w:id="85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Прийом слухачів здійснюється на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ідставі особистих заяв засуджених та з урахуванням їх медичних і вікових показань до обраної професії.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86" w:name="n75"/>
      <w:bookmarkEnd w:id="86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 прийому до Центру доводяться до відома слухачів адміністрацією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87" w:name="n76"/>
      <w:bookmarkEnd w:id="87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Необхідні для вступу документи готує та подає до Центру адміністрація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станови.</w:t>
      </w:r>
    </w:p>
    <w:p w:rsid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88" w:name="n77"/>
      <w:bookmarkEnd w:id="88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4. Зарахування слухачів до Центру здійснюється наказом Центру та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станови.</w:t>
      </w:r>
    </w:p>
    <w:p w:rsidR="00B1618F" w:rsidRDefault="00B1618F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1618F" w:rsidRDefault="00B1618F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1618F" w:rsidRPr="00FE7B3B" w:rsidRDefault="00B1618F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Pr="00FE7B3B" w:rsidRDefault="00FE7B3B" w:rsidP="00FE7B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89" w:name="n78"/>
      <w:bookmarkEnd w:id="89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ІV. Права та обов’язки слухачі</w:t>
      </w:r>
      <w:proofErr w:type="gramStart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Центру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90" w:name="n79"/>
      <w:bookmarkEnd w:id="90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Слухачі мають право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91" w:name="n80"/>
      <w:bookmarkEnd w:id="91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належні умови навчання;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92" w:name="n81"/>
      <w:bookmarkEnd w:id="92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продовження освіти за професією, спеціальністю на основі одержаного освітньо-кваліфікаційного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івня, здобуття додаткової освіти відповідно до угоди з навчальним закладом;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93" w:name="n82"/>
      <w:bookmarkEnd w:id="93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безоплатне користування навчально-виробничою,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культурно-спортивною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побутовою базами Центру;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94" w:name="n83"/>
      <w:bookmarkEnd w:id="94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 професії за індивідуальною програмою;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95" w:name="n84"/>
      <w:bookmarkEnd w:id="95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безоплатне оволодіння іншою професією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раз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 хвороби, яка не дає змоги продовжити навчання за обраною професією;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96" w:name="n85"/>
      <w:bookmarkEnd w:id="96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участь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 ол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імпіадах, виставках, конкурсах;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97" w:name="n86"/>
      <w:bookmarkEnd w:id="97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захист від будь-яких форм експлуатації, фізичного та психічного насильства, дій педагогічних та інших працівників, що порушують права або принижують їх честь і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ідність;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98" w:name="n87"/>
      <w:bookmarkEnd w:id="98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безоплатне медичне обслуговування, користування засобами лікування,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проф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ілактику захворювань та зміцнення здоров’я.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99" w:name="n88"/>
      <w:bookmarkEnd w:id="99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2. Слухачі зобов’язані: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00" w:name="n89"/>
      <w:bookmarkEnd w:id="100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дотримуватись законодавства, моральних, етичних норм;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01" w:name="n90"/>
      <w:bookmarkEnd w:id="101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виконувати вимоги навчальних програм і системи контролю знань, умінь, навичок;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02" w:name="n91"/>
      <w:bookmarkEnd w:id="102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систематично і глибоко оволодівати знаннями, практичними навичками, професійною майстерністю,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ідвищувати загальний культурний рівень;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03" w:name="n92"/>
      <w:bookmarkEnd w:id="103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відвідувати заняття,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тому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числі за індивідуальним графіком;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04" w:name="n93"/>
      <w:bookmarkEnd w:id="104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дотримуватись правил охорони праці та техніки безпеки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 час практичного навчання і виробничої практики;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05" w:name="n94"/>
      <w:bookmarkEnd w:id="105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дбайливо ставитись до обладнання, засобів навчання та інвентарю, що використовуються в навчально-виробничому і навчально-виховному процесах.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06" w:name="n95"/>
      <w:bookmarkEnd w:id="106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За досягнення високих результатів у навчанні та оволодінні професією, спеціальністю, за активну участь у виробничій діяльності та за інші досягнення застосовуються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ізні форми морального та матеріального заохочення слухачів, передбачені статутом Центру, які враховуються при визначенні ступеня їхнього виправлення.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07" w:name="n96"/>
      <w:bookmarkEnd w:id="107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Матеріальне заохочення слухачів у Центрі може здійснюватися в установленому законодавством порядку за рахунок коштів бюджету, доходів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 виробничої діяльності та залучення коштів підприємств, установ, організацій, громадян.</w:t>
      </w:r>
    </w:p>
    <w:p w:rsid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108" w:name="n97"/>
      <w:bookmarkEnd w:id="108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Час навчання в Центрі зараховується до трудового стажу слухача, у тому числі до безперервного, і до стажу роботи за спеціальністю, що дає право на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ільги, встановлені для відповідної категорії працівників, якщо перерва між днем закінчення навчання і днем зарахування на роботу за набутою професією не перевищує трьох місяців.</w:t>
      </w:r>
    </w:p>
    <w:p w:rsidR="00B1618F" w:rsidRPr="00FE7B3B" w:rsidRDefault="00B1618F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Pr="00FE7B3B" w:rsidRDefault="00FE7B3B" w:rsidP="00FE7B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09" w:name="n98"/>
      <w:bookmarkEnd w:id="109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V. Організація навчально-виробничого процесу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10" w:name="n99"/>
      <w:bookmarkEnd w:id="110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Організація навчально-виробничого процесу в Центрі здійснюється відповідно до </w:t>
      </w:r>
      <w:hyperlink r:id="rId34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Положення про організацію навчально-виробничого процесу у професійно-технічних навчальних закладах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затвердженого наказом Міністерства освіти і науки України від 30 травня 2006 року № 419, зареєстрованого в Міністерстві юстиції України 15 червня 2006 року за № 711/12585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з урахуванням особливостей кримінально-виконавчого законодавства, інших нормативно-правових акті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сфері освіти.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11" w:name="n100"/>
      <w:bookmarkEnd w:id="111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2. Слухачі, які мають базову загальну середню освіту, можуть одночасно із набуттям професії здобувати повну загальну середню освіту.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12" w:name="n101"/>
      <w:bookmarkEnd w:id="112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Слухачі, які з певних причин не можуть одночасно з набуттям професії здобувати повну загальну середню освіту або не мають базової загальної середньої освіти, можуть здобувати робітничу кваліфікацію з професій, перелік яких визначається Кабінетом Міні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ів України.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13" w:name="n102"/>
      <w:bookmarkEnd w:id="113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Навчальні групи з теоретичної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ідготовки комплектуються по 10-20 осіб. Виробниче навчання проводиться в групах по 5-10 осіб.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14" w:name="n103"/>
      <w:bookmarkEnd w:id="114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 організації виробничого навчання обираються Центром залежно від особливості професії за умови повного виконання навчальних планів і програм.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15" w:name="n104"/>
      <w:bookmarkEnd w:id="115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Виробнича практика проводиться у майстернях або на підприємстві Установи під керівництвом інженерно-технічних працівників і кваліфікованих робітників підприємства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станови. Майстри виробничого навчання Центру здійснюють навчально-методичне забезпечення навчальної практики.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16" w:name="n105"/>
      <w:bookmarkEnd w:id="116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Професійно-технічна освіта є ступеневою. Ступеневість професійно-технічної освіти визначається в Центрі за відповідними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івнями кваліфікації і складністю професій та освітньо-кваліфікаційним рівнем.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17" w:name="n106"/>
      <w:bookmarkEnd w:id="117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Кожний ступінь навчання в Центрі має бути теоретично і практично завершеним і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ідтверджуватись присвоєнням випускникам (слухачам) освітньо-кваліфікаційного рівня «кваліфікований робітник» згідно з набутими професійними знаннями, уміннями і навичками.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18" w:name="n107"/>
      <w:bookmarkEnd w:id="118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5. Визначення навчальних досягнень слухачів Центру здійснюється за діючими критеріями 12-бальної шкали оцінювання навчальних досягнень слухачів у загальноосвітніх і професійно-технічних навчальних закладах із занесенням до журналів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теоретичного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виробничого навчання.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19" w:name="n108"/>
      <w:bookmarkEnd w:id="119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Навчання в Центрі завершується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державною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кваліфікаційною атестацією.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20" w:name="n109"/>
      <w:bookmarkEnd w:id="120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Кваліфікаційна атестація та присвоєння кваліфікації здійснюються відповідно до </w:t>
      </w:r>
      <w:hyperlink r:id="rId35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Положення про порядок кваліфікаційної атестації та присвоєння кваліфікації особам, які здобувають професійно-технічну освіту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затвердженого наказом Міністерства праці та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соц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іальної політики України, Міністерства освіти України від 31 грудня 1998 року № 201/469, зареєстрованого в Міністерстві юстиції України 01 березня 1999 року за № 124/3417.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21" w:name="n110"/>
      <w:bookmarkEnd w:id="121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Слухачеві Центру, який закінчив повний курс первинної професійної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ідготовки та успішно пройшов кваліфікаційну атестацію, присвоюється освітньо-кваліфікаційний рівень «кваліфікований робітник» з набутої професії відповідного розряду (категорії) та видається диплом встановленого зразка.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22" w:name="n159"/>
      <w:bookmarkEnd w:id="122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Особі, яка опанувала курс професійно-технічного навчання і успішно пройшла кваліфікаційну атестацію, видається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ідоцтво про присвоєння (підвищення) робітничої кваліфікації, зразок якого затверджено постановою Кабінету Міністрів України від 22 липня 2015 року </w:t>
      </w:r>
      <w:hyperlink r:id="rId36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645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E7B3B" w:rsidRPr="00FE7B3B" w:rsidRDefault="00FE7B3B" w:rsidP="00FE7B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123" w:name="n158"/>
      <w:bookmarkEnd w:id="123"/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{Пункт 7 розділу V доповнено новим абзацом другим згідно з Наказом Міністерства освіти і науки </w:t>
      </w:r>
      <w:hyperlink r:id="rId37" w:anchor="n31" w:tgtFrame="_blank" w:history="1">
        <w:r w:rsidRPr="00FE7B3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№ 965/2076/5 від 03.07.2017</w:t>
        </w:r>
      </w:hyperlink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}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24" w:name="n111"/>
      <w:bookmarkEnd w:id="124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Забезпечення Центру бланками документів про освіту здійснюється у встановленому законодавством порядку.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25" w:name="n112"/>
      <w:bookmarkEnd w:id="125"/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документах слухачів про освіту не повинно бути будь-яких поміток про їх перебування в Установі.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26" w:name="n113"/>
      <w:bookmarkEnd w:id="126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Документи про професійно-технічну освіту випускників Центру зберігаються в особових справах засуджених і видаються їм особисто під підпис при звільненні з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27" w:name="n114"/>
      <w:bookmarkEnd w:id="127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період проходження кваліфікаційної атестації, у тому числі державної кваліфікаційної атестації, слухачі звільняються від роботи на строк, передбачений законодавством. Заробітна плата ї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цей період не нараховується, харчування надається безоплатно.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28" w:name="n115"/>
      <w:bookmarkEnd w:id="128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9. У випадку звільнення слухача від подальшого відбування покарання, переведення його до іншо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ї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 або з інших причин, коли слухач вимушений припинити навчання, адміністрація Установи повідомляє про це директора Центру.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29" w:name="n116"/>
      <w:bookmarkEnd w:id="129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Центр, отримавши повідомлення Установи про неможливість подальшого навчання слухача в Центрі, може прийняти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ішення про дострокове здійснення випуску такого слухача, яке повинно бути погоджено з органами управління освітою Ради міністрів Автономної Республіки Крим, обласних, Київської та Севастопольської міських державних адміністрацій та міжрегіональними управліннями з питань виконання кримінальних покарань та пробації Міністерства юстиції.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30" w:name="n117"/>
      <w:bookmarkEnd w:id="130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Слухачі, які достроково випускаються з Центру та яким за результатами кваліфікаційної атестації присвоєна відповідна робітнича кваліфікація, одержують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ідоцтво про присвоєння (підвищення) робітничої кваліфікації державного зразка.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31" w:name="n118"/>
      <w:bookmarkEnd w:id="131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Слухачам, які не завершили повного курсу навчання у Центрі і не пройшли кваліфікаційної атестації,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видається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довідка відповідно до зразка, наведеного в додатку 2 до </w:t>
      </w:r>
      <w:hyperlink r:id="rId38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Положення про організацію навчально-виробничого процесу у професійно-технічних навчальних закладах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затвердженого наказом Міністерства освіти і науки України від 30 травня 2006 року № 419, зареєстрованого в Міністерстві юстиції України 15 червня 2006 року за № 711/12585, у якій вказуються назви навчальних предметів, що входять у додаток до диплома (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ідоцтва) про професійно-технічну освіту, та одержані підсумкові оцінки (словами), а також навчальні досягнення (оцінка - словами) з професійно-практичної підготовки.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32" w:name="n119"/>
      <w:bookmarkEnd w:id="132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 Випускникам, які навчалися професіям, пов’язаним з роботами на об’єктах з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ідвищеною небезпекою праці, що перебувають під наглядом спеціально уповноважених державних органів, разом з дипломом видається посвідчення встановленого зразка про допуск до роботи на цих об’єктах.</w:t>
      </w:r>
    </w:p>
    <w:p w:rsid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133" w:name="n120"/>
      <w:bookmarkEnd w:id="133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11. Мова навчання в Центрі визначається відповідно до законодавства України про мови.</w:t>
      </w:r>
    </w:p>
    <w:p w:rsidR="00B1618F" w:rsidRPr="00FE7B3B" w:rsidRDefault="00B1618F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Pr="00FE7B3B" w:rsidRDefault="00FE7B3B" w:rsidP="00FE7B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34" w:name="n121"/>
      <w:bookmarkEnd w:id="134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VI. Адміністрація</w:t>
      </w:r>
      <w:proofErr w:type="gramStart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</w:t>
      </w:r>
      <w:proofErr w:type="gramEnd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станови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35" w:name="n122"/>
      <w:bookmarkEnd w:id="135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1. Адміністрація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станови: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36" w:name="n123"/>
      <w:bookmarkEnd w:id="136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здійснює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обл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ік засуджених, які не мають професії, для комплектування навчальних груп;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37" w:name="n124"/>
      <w:bookmarkEnd w:id="137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забезпечує умови для проведення навчально-виробничого процесу;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38" w:name="n125"/>
      <w:bookmarkEnd w:id="138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надає Центру приміщення для організації теоретичного та практичного навчання, утримує їх у належному стані, проводить ремонт, забезпечує відповідним обладнанням та інструментом, меблями та інвентарем, контролює зберігання і правильне використання навчальних та наочних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пос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ібників, технічних засобів, підручників;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39" w:name="n126"/>
      <w:bookmarkEnd w:id="139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робить замовлення на виготовлення продукції у процесі виробничого навчання та практики слухачів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ідповідно до навчальних планів та програм;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40" w:name="n127"/>
      <w:bookmarkEnd w:id="140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надає допомогу в організації навчально-виробничого процесу в навчальних майстернях Центру або на підприємств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41" w:name="n128"/>
      <w:bookmarkEnd w:id="141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повідомляє керівництво Центру про неможливість подальшого навчання слухача;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42" w:name="n129"/>
      <w:bookmarkEnd w:id="142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надає допомогу Центру в доборі педагогічних кадрі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43" w:name="n130"/>
      <w:bookmarkEnd w:id="143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доводить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відома працівників Центру основні вимоги режиму, встановленого в Установі;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44" w:name="n131"/>
      <w:bookmarkEnd w:id="144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забезпечує безпеку працівників Центру під час їх перебування на територ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ії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станови;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45" w:name="n132"/>
      <w:bookmarkEnd w:id="145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подає клопотання до органів управління освітою Ради міні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стр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ів Автономної Республіки Крим, обласних, Київської та Севастопольської міських державних адміністрацій та міжрегіональних управлінь з питань виконання кримінальних покарань та пробації Міністерства юстиції щодо заохочення працівників Центру.</w:t>
      </w:r>
    </w:p>
    <w:p w:rsid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146" w:name="n133"/>
      <w:bookmarkEnd w:id="146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2. Адміністрація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 за погодженням з керівництвом Центру може відвідувати заняття та інші заходи, пов’язані з навчально-виробничим процесом, та брати участь у роботі педагогічної ради Центру, зборах, нарадах та інших заходах Центру.</w:t>
      </w:r>
    </w:p>
    <w:p w:rsidR="00B1618F" w:rsidRPr="00FE7B3B" w:rsidRDefault="00B1618F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7B3B" w:rsidRPr="00FE7B3B" w:rsidRDefault="00FE7B3B" w:rsidP="00FE7B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47" w:name="n134"/>
      <w:bookmarkEnd w:id="147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VII. Фінансування та </w:t>
      </w:r>
      <w:proofErr w:type="gramStart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</w:t>
      </w:r>
      <w:proofErr w:type="gramEnd"/>
      <w:r w:rsidRPr="00FE7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іально-технічна база Центру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48" w:name="n135"/>
      <w:bookmarkEnd w:id="148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1. Фінансування Центру в межах обсягі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державного замовлення здійснюється за рахунок Державного бюджету України у такому порядку: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49" w:name="n136"/>
      <w:bookmarkEnd w:id="149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оплата праці працівників Центру здійснюється за рахунок коштів, передбачених Міністерству освіти і науки України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державному бюджеті на зазначені цілі;</w:t>
      </w:r>
    </w:p>
    <w:p w:rsidR="00FE7B3B" w:rsidRPr="00FE7B3B" w:rsidRDefault="00FE7B3B" w:rsidP="00FE7B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150" w:name="n160"/>
      <w:bookmarkEnd w:id="150"/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{Абзац другий пункту 1 розділу VІІ із змінами, внесеними згідно з Наказом Міністерства освіти і науки </w:t>
      </w:r>
      <w:hyperlink r:id="rId39" w:anchor="n35" w:tgtFrame="_blank" w:history="1">
        <w:r w:rsidRPr="00FE7B3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№ 965/2076/5 від 03.07.2017</w:t>
        </w:r>
      </w:hyperlink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}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51" w:name="n137"/>
      <w:bookmarkEnd w:id="151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створення та утримання матеріально-технічної бази Центру здійснюється за рахунок коштів, передбачених Міністерству юстиції України на зазначені цілі.</w:t>
      </w:r>
    </w:p>
    <w:p w:rsidR="00FE7B3B" w:rsidRPr="00FE7B3B" w:rsidRDefault="00FE7B3B" w:rsidP="00FE7B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152" w:name="n161"/>
      <w:bookmarkEnd w:id="152"/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{Абзац третій пункту 1 розділу VІІ із змінами, внесеними згідно з Наказом Міністерства освіти і науки </w:t>
      </w:r>
      <w:hyperlink r:id="rId40" w:anchor="n36" w:tgtFrame="_blank" w:history="1">
        <w:r w:rsidRPr="00FE7B3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№ 965/2076/5 від 03.07.2017</w:t>
        </w:r>
      </w:hyperlink>
      <w:r w:rsidRPr="00FE7B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}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53" w:name="n138"/>
      <w:bookmarkEnd w:id="153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Обсяги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бюджетного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фінансування Центру не можуть зменшуватися або припинятися за наявності інших джерел фінансування, не заборонених законодавством.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54" w:name="n139"/>
      <w:bookmarkEnd w:id="154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Перепідготовка та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ідвищення кваліфікації слухачів здійснюються за рахунок фізичних та юридичних осіб.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55" w:name="n140"/>
      <w:bookmarkEnd w:id="155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 Додаткові джерела фінансування визначаються Законами України </w:t>
      </w:r>
      <w:hyperlink r:id="rId41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«Про освіту»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42" w:tgtFrame="_blank" w:history="1">
        <w:r w:rsidRPr="00FE7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«Про професійно-технічну освіту»</w:t>
        </w:r>
      </w:hyperlink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іншими нормативно-правовими актами.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56" w:name="n141"/>
      <w:bookmarkEnd w:id="156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5. Приміщення і споруди Центру обладнуються та експлуатуються відповідно до вимог охорони праці, правил пожежної безпеки і сані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тарно-г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ігієнічних норм.</w:t>
      </w:r>
    </w:p>
    <w:p w:rsidR="00FE7B3B" w:rsidRPr="00FE7B3B" w:rsidRDefault="00FE7B3B" w:rsidP="00FE7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57" w:name="n142"/>
      <w:bookmarkEnd w:id="157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Центр, його засновники мають право укладати договори про співробітництво, встановлювати відповідно до законодавства прямі зв’язки з навчальними закладами зарубіжних </w:t>
      </w:r>
      <w:proofErr w:type="gramStart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країн</w:t>
      </w:r>
      <w:proofErr w:type="gramEnd"/>
      <w:r w:rsidRPr="00FE7B3B">
        <w:rPr>
          <w:rFonts w:ascii="Times New Roman" w:eastAsia="Times New Roman" w:hAnsi="Times New Roman" w:cs="Times New Roman"/>
          <w:color w:val="333333"/>
          <w:sz w:val="28"/>
          <w:szCs w:val="28"/>
        </w:rPr>
        <w:t>, міжнародними організаціями, фондами тощо.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2"/>
        <w:gridCol w:w="5429"/>
      </w:tblGrid>
      <w:tr w:rsidR="00FE7B3B" w:rsidRPr="00FE7B3B" w:rsidTr="00FE7B3B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7B3B" w:rsidRPr="00FE7B3B" w:rsidRDefault="00FE7B3B" w:rsidP="00FE7B3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8" w:name="n143"/>
            <w:bookmarkEnd w:id="158"/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Директор департаменту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професійно-технічної освіти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Міністерства освіти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 науки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7B3B" w:rsidRPr="00FE7B3B" w:rsidRDefault="00FE7B3B" w:rsidP="00FE7B3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В.В. Супрун</w:t>
            </w:r>
          </w:p>
        </w:tc>
      </w:tr>
      <w:tr w:rsidR="00FE7B3B" w:rsidRPr="00FE7B3B" w:rsidTr="00FE7B3B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7B3B" w:rsidRPr="00FE7B3B" w:rsidRDefault="00FE7B3B" w:rsidP="00FE7B3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9" w:name="n144"/>
            <w:bookmarkEnd w:id="159"/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Директор Департаменту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взаємодії з органами влади</w:t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Міністерства юстиції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7B3B" w:rsidRPr="00FE7B3B" w:rsidRDefault="00FE7B3B" w:rsidP="00FE7B3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E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О.В. Анохін</w:t>
            </w:r>
          </w:p>
        </w:tc>
      </w:tr>
    </w:tbl>
    <w:p w:rsidR="00A303F5" w:rsidRPr="00FE7B3B" w:rsidRDefault="00A303F5">
      <w:pPr>
        <w:rPr>
          <w:rFonts w:ascii="Times New Roman" w:hAnsi="Times New Roman" w:cs="Times New Roman"/>
          <w:sz w:val="28"/>
          <w:szCs w:val="28"/>
        </w:rPr>
      </w:pPr>
    </w:p>
    <w:sectPr w:rsidR="00A303F5" w:rsidRPr="00FE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FE7B3B"/>
    <w:rsid w:val="00A303F5"/>
    <w:rsid w:val="00B1618F"/>
    <w:rsid w:val="00FE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FE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FE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FE7B3B"/>
  </w:style>
  <w:style w:type="character" w:customStyle="1" w:styleId="rvts23">
    <w:name w:val="rvts23"/>
    <w:basedOn w:val="a0"/>
    <w:rsid w:val="00FE7B3B"/>
  </w:style>
  <w:style w:type="paragraph" w:customStyle="1" w:styleId="rvps7">
    <w:name w:val="rvps7"/>
    <w:basedOn w:val="a"/>
    <w:rsid w:val="00FE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FE7B3B"/>
  </w:style>
  <w:style w:type="paragraph" w:customStyle="1" w:styleId="rvps14">
    <w:name w:val="rvps14"/>
    <w:basedOn w:val="a"/>
    <w:rsid w:val="00FE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FE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"/>
    <w:rsid w:val="00FE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E7B3B"/>
    <w:rPr>
      <w:color w:val="0000FF"/>
      <w:u w:val="single"/>
    </w:rPr>
  </w:style>
  <w:style w:type="paragraph" w:customStyle="1" w:styleId="rvps2">
    <w:name w:val="rvps2"/>
    <w:basedOn w:val="a"/>
    <w:rsid w:val="00FE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FE7B3B"/>
  </w:style>
  <w:style w:type="character" w:customStyle="1" w:styleId="rvts44">
    <w:name w:val="rvts44"/>
    <w:basedOn w:val="a0"/>
    <w:rsid w:val="00FE7B3B"/>
  </w:style>
  <w:style w:type="paragraph" w:customStyle="1" w:styleId="rvps15">
    <w:name w:val="rvps15"/>
    <w:basedOn w:val="a"/>
    <w:rsid w:val="00FE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FE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">
    <w:name w:val="rvps8"/>
    <w:basedOn w:val="a"/>
    <w:rsid w:val="00FE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FE7B3B"/>
  </w:style>
  <w:style w:type="paragraph" w:styleId="a4">
    <w:name w:val="Balloon Text"/>
    <w:basedOn w:val="a"/>
    <w:link w:val="a5"/>
    <w:uiPriority w:val="99"/>
    <w:semiHidden/>
    <w:unhideWhenUsed/>
    <w:rsid w:val="00FE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4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9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5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240-98-%D0%BF" TargetMode="External"/><Relationship Id="rId13" Type="http://schemas.openxmlformats.org/officeDocument/2006/relationships/hyperlink" Target="https://zakon.rada.gov.ua/laws/show/254%D0%BA/96-%D0%B2%D1%80" TargetMode="External"/><Relationship Id="rId18" Type="http://schemas.openxmlformats.org/officeDocument/2006/relationships/hyperlink" Target="https://zakon.rada.gov.ua/laws/show/z0711-06" TargetMode="External"/><Relationship Id="rId26" Type="http://schemas.openxmlformats.org/officeDocument/2006/relationships/hyperlink" Target="https://zakon.rada.gov.ua/laws/show/z0869-17" TargetMode="External"/><Relationship Id="rId39" Type="http://schemas.openxmlformats.org/officeDocument/2006/relationships/hyperlink" Target="https://zakon.rada.gov.ua/laws/show/z0869-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z0869-17" TargetMode="External"/><Relationship Id="rId34" Type="http://schemas.openxmlformats.org/officeDocument/2006/relationships/hyperlink" Target="https://zakon.rada.gov.ua/laws/show/z0711-06" TargetMode="External"/><Relationship Id="rId42" Type="http://schemas.openxmlformats.org/officeDocument/2006/relationships/hyperlink" Target="https://zakon.rada.gov.ua/laws/show/103/98-%D0%B2%D1%80" TargetMode="External"/><Relationship Id="rId7" Type="http://schemas.openxmlformats.org/officeDocument/2006/relationships/hyperlink" Target="https://zakon.rada.gov.ua/laws/show/103/98-%D0%B2%D1%80" TargetMode="External"/><Relationship Id="rId12" Type="http://schemas.openxmlformats.org/officeDocument/2006/relationships/hyperlink" Target="https://zakon.rada.gov.ua/laws/show/z0869-17" TargetMode="External"/><Relationship Id="rId17" Type="http://schemas.openxmlformats.org/officeDocument/2006/relationships/hyperlink" Target="https://zakon.rada.gov.ua/laws/show/1240-98-%D0%BF" TargetMode="External"/><Relationship Id="rId25" Type="http://schemas.openxmlformats.org/officeDocument/2006/relationships/hyperlink" Target="https://zakon.rada.gov.ua/laws/show/1240-98-%D0%BF" TargetMode="External"/><Relationship Id="rId33" Type="http://schemas.openxmlformats.org/officeDocument/2006/relationships/hyperlink" Target="https://zakon.rada.gov.ua/laws/show/z0823-13" TargetMode="External"/><Relationship Id="rId38" Type="http://schemas.openxmlformats.org/officeDocument/2006/relationships/hyperlink" Target="https://zakon.rada.gov.ua/laws/show/z0711-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103/98-%D0%B2%D1%80" TargetMode="External"/><Relationship Id="rId20" Type="http://schemas.openxmlformats.org/officeDocument/2006/relationships/hyperlink" Target="https://zakon.rada.gov.ua/laws/show/1187-2015-%D0%BF" TargetMode="External"/><Relationship Id="rId29" Type="http://schemas.openxmlformats.org/officeDocument/2006/relationships/hyperlink" Target="https://zakon.rada.gov.ua/laws/show/z0869-17" TargetMode="External"/><Relationship Id="rId41" Type="http://schemas.openxmlformats.org/officeDocument/2006/relationships/hyperlink" Target="https://zakon.rada.gov.ua/laws/show/1060-12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129-15" TargetMode="External"/><Relationship Id="rId11" Type="http://schemas.openxmlformats.org/officeDocument/2006/relationships/hyperlink" Target="https://zakon.rada.gov.ua/laws/show/493/92" TargetMode="External"/><Relationship Id="rId24" Type="http://schemas.openxmlformats.org/officeDocument/2006/relationships/hyperlink" Target="https://zakon.rada.gov.ua/laws/show/103/98-%D0%B2%D1%80" TargetMode="External"/><Relationship Id="rId32" Type="http://schemas.openxmlformats.org/officeDocument/2006/relationships/hyperlink" Target="https://zakon.rada.gov.ua/laws/show/z0869-17" TargetMode="External"/><Relationship Id="rId37" Type="http://schemas.openxmlformats.org/officeDocument/2006/relationships/hyperlink" Target="https://zakon.rada.gov.ua/laws/show/z0869-17" TargetMode="External"/><Relationship Id="rId40" Type="http://schemas.openxmlformats.org/officeDocument/2006/relationships/hyperlink" Target="https://zakon.rada.gov.ua/laws/show/z0869-17" TargetMode="External"/><Relationship Id="rId5" Type="http://schemas.openxmlformats.org/officeDocument/2006/relationships/hyperlink" Target="https://zakon.rada.gov.ua/laws/show/z0869-17" TargetMode="External"/><Relationship Id="rId15" Type="http://schemas.openxmlformats.org/officeDocument/2006/relationships/hyperlink" Target="https://zakon.rada.gov.ua/laws/show/1060-12" TargetMode="External"/><Relationship Id="rId23" Type="http://schemas.openxmlformats.org/officeDocument/2006/relationships/hyperlink" Target="https://zakon.rada.gov.ua/laws/show/1060-12" TargetMode="External"/><Relationship Id="rId28" Type="http://schemas.openxmlformats.org/officeDocument/2006/relationships/hyperlink" Target="https://zakon.rada.gov.ua/laws/show/z0869-17" TargetMode="External"/><Relationship Id="rId36" Type="http://schemas.openxmlformats.org/officeDocument/2006/relationships/hyperlink" Target="https://zakon.rada.gov.ua/laws/show/645-2015-%D0%BF" TargetMode="External"/><Relationship Id="rId10" Type="http://schemas.openxmlformats.org/officeDocument/2006/relationships/hyperlink" Target="https://zakon.rada.gov.ua/laws/show/z0313-04" TargetMode="External"/><Relationship Id="rId19" Type="http://schemas.openxmlformats.org/officeDocument/2006/relationships/hyperlink" Target="https://zakon.rada.gov.ua/laws/show/z0869-17" TargetMode="External"/><Relationship Id="rId31" Type="http://schemas.openxmlformats.org/officeDocument/2006/relationships/hyperlink" Target="https://zakon.rada.gov.ua/laws/show/z0869-17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z2192-13/print" TargetMode="External"/><Relationship Id="rId14" Type="http://schemas.openxmlformats.org/officeDocument/2006/relationships/hyperlink" Target="https://zakon.rada.gov.ua/laws/show/1129-15" TargetMode="External"/><Relationship Id="rId22" Type="http://schemas.openxmlformats.org/officeDocument/2006/relationships/hyperlink" Target="https://zakon.rada.gov.ua/laws/show/103/98-%D0%B2%D1%80" TargetMode="External"/><Relationship Id="rId27" Type="http://schemas.openxmlformats.org/officeDocument/2006/relationships/hyperlink" Target="https://zakon.rada.gov.ua/laws/show/z0869-17" TargetMode="External"/><Relationship Id="rId30" Type="http://schemas.openxmlformats.org/officeDocument/2006/relationships/hyperlink" Target="https://zakon.rada.gov.ua/laws/show/z1255-10" TargetMode="External"/><Relationship Id="rId35" Type="http://schemas.openxmlformats.org/officeDocument/2006/relationships/hyperlink" Target="https://zakon.rada.gov.ua/laws/show/z0124-9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4312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</dc:creator>
  <cp:keywords/>
  <dc:description/>
  <cp:lastModifiedBy>Моисеенко</cp:lastModifiedBy>
  <cp:revision>3</cp:revision>
  <dcterms:created xsi:type="dcterms:W3CDTF">2022-02-10T07:43:00Z</dcterms:created>
  <dcterms:modified xsi:type="dcterms:W3CDTF">2022-02-10T07:47:00Z</dcterms:modified>
</cp:coreProperties>
</file>