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291" w:rsidRPr="00AF2291" w:rsidRDefault="00E6042E" w:rsidP="00AF2291">
      <w:pPr>
        <w:shd w:val="clear" w:color="auto" w:fill="FFFFFF"/>
        <w:spacing w:after="0" w:line="240" w:lineRule="auto"/>
        <w:ind w:left="5664"/>
        <w:contextualSpacing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</w:t>
      </w:r>
    </w:p>
    <w:p w:rsidR="00AF2291" w:rsidRDefault="00AF2291" w:rsidP="00475CD8">
      <w:pPr>
        <w:shd w:val="clear" w:color="auto" w:fill="FFFFFF"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</w:p>
    <w:p w:rsidR="00C4024A" w:rsidRPr="00E6042E" w:rsidRDefault="00C4024A" w:rsidP="00475CD8">
      <w:pPr>
        <w:shd w:val="clear" w:color="auto" w:fill="FFFFFF"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E6042E">
        <w:rPr>
          <w:rFonts w:ascii="Times New Roman" w:eastAsia="Times New Roman" w:hAnsi="Times New Roman" w:cs="Times New Roman"/>
          <w:lang w:val="uk-UA" w:eastAsia="ru-RU"/>
        </w:rPr>
        <w:t>ЗАТВЕРДЖЕНО</w:t>
      </w:r>
    </w:p>
    <w:p w:rsidR="00C4024A" w:rsidRPr="00E6042E" w:rsidRDefault="00C4024A" w:rsidP="00475CD8">
      <w:pPr>
        <w:shd w:val="clear" w:color="auto" w:fill="FFFFFF"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E6042E">
        <w:rPr>
          <w:rFonts w:ascii="Times New Roman" w:eastAsia="Times New Roman" w:hAnsi="Times New Roman" w:cs="Times New Roman"/>
          <w:lang w:val="uk-UA" w:eastAsia="ru-RU"/>
        </w:rPr>
        <w:t>педагогічною радою</w:t>
      </w:r>
    </w:p>
    <w:p w:rsidR="00475CD8" w:rsidRPr="00E6042E" w:rsidRDefault="00D43025" w:rsidP="00475CD8">
      <w:pPr>
        <w:shd w:val="clear" w:color="auto" w:fill="FFFFFF"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E6042E">
        <w:rPr>
          <w:rFonts w:ascii="Times New Roman" w:eastAsia="Times New Roman" w:hAnsi="Times New Roman" w:cs="Times New Roman"/>
          <w:lang w:val="uk-UA" w:eastAsia="ru-RU"/>
        </w:rPr>
        <w:t>КЗ «ЗЗСО</w:t>
      </w:r>
      <w:r w:rsidR="00C4024A" w:rsidRPr="00E6042E">
        <w:rPr>
          <w:rFonts w:ascii="Times New Roman" w:eastAsia="Times New Roman" w:hAnsi="Times New Roman" w:cs="Times New Roman"/>
          <w:lang w:val="uk-UA" w:eastAsia="ru-RU"/>
        </w:rPr>
        <w:t xml:space="preserve"> І-ІІІ ступенів </w:t>
      </w:r>
      <w:r w:rsidR="00475CD8" w:rsidRPr="00E6042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4024A" w:rsidRPr="00E6042E" w:rsidRDefault="00A3463C" w:rsidP="00E6042E">
      <w:pPr>
        <w:shd w:val="clear" w:color="auto" w:fill="FFFFFF"/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E6042E">
        <w:rPr>
          <w:rFonts w:ascii="Times New Roman" w:eastAsia="Times New Roman" w:hAnsi="Times New Roman" w:cs="Times New Roman"/>
          <w:lang w:val="uk-UA" w:eastAsia="ru-RU"/>
        </w:rPr>
        <w:t>с.</w:t>
      </w:r>
      <w:r w:rsidR="00C4024A" w:rsidRPr="00E6042E">
        <w:rPr>
          <w:rFonts w:ascii="Times New Roman" w:eastAsia="Times New Roman" w:hAnsi="Times New Roman" w:cs="Times New Roman"/>
          <w:lang w:val="uk-UA" w:eastAsia="ru-RU"/>
        </w:rPr>
        <w:t>Дмитрашківка</w:t>
      </w:r>
      <w:r w:rsidR="00D43025" w:rsidRPr="00E6042E">
        <w:rPr>
          <w:rFonts w:ascii="Times New Roman" w:eastAsia="Times New Roman" w:hAnsi="Times New Roman" w:cs="Times New Roman"/>
          <w:lang w:eastAsia="ru-RU"/>
        </w:rPr>
        <w:t>»</w:t>
      </w:r>
      <w:r w:rsidR="00C4024A" w:rsidRPr="00E6042E">
        <w:rPr>
          <w:rFonts w:ascii="Times New Roman" w:eastAsia="Times New Roman" w:hAnsi="Times New Roman" w:cs="Times New Roman"/>
          <w:lang w:eastAsia="ru-RU"/>
        </w:rPr>
        <w:t>           </w:t>
      </w:r>
      <w:r w:rsidR="00C4024A" w:rsidRPr="00E60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C4024A" w:rsidRPr="00E6042E">
        <w:rPr>
          <w:rFonts w:ascii="Times New Roman" w:eastAsia="Times New Roman" w:hAnsi="Times New Roman" w:cs="Times New Roman"/>
          <w:lang w:eastAsia="ru-RU"/>
        </w:rPr>
        <w:t>                  </w:t>
      </w:r>
      <w:r w:rsidR="00C4024A" w:rsidRPr="00E6042E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r w:rsidRPr="00E6042E">
        <w:rPr>
          <w:rFonts w:ascii="Times New Roman" w:eastAsia="Times New Roman" w:hAnsi="Times New Roman" w:cs="Times New Roman"/>
          <w:lang w:eastAsia="ru-RU"/>
        </w:rPr>
        <w:t>                        </w:t>
      </w:r>
      <w:r w:rsidR="00C4024A" w:rsidRPr="00E6042E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</w:t>
      </w:r>
      <w:r w:rsidR="00C4024A" w:rsidRPr="00E60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E6042E">
        <w:rPr>
          <w:rFonts w:ascii="Times New Roman" w:eastAsia="Times New Roman" w:hAnsi="Times New Roman" w:cs="Times New Roman"/>
          <w:lang w:eastAsia="ru-RU"/>
        </w:rPr>
        <w:t>           </w:t>
      </w:r>
      <w:r w:rsidR="00E6042E">
        <w:rPr>
          <w:rFonts w:ascii="Times New Roman" w:eastAsia="Times New Roman" w:hAnsi="Times New Roman" w:cs="Times New Roman"/>
          <w:lang w:eastAsia="ru-RU"/>
        </w:rPr>
        <w:t>  </w:t>
      </w:r>
      <w:bookmarkStart w:id="0" w:name="_GoBack"/>
      <w:bookmarkEnd w:id="0"/>
      <w:r w:rsidR="00C4024A" w:rsidRPr="00E6042E">
        <w:rPr>
          <w:rFonts w:ascii="Times New Roman" w:eastAsia="Times New Roman" w:hAnsi="Times New Roman" w:cs="Times New Roman"/>
          <w:lang w:val="uk-UA" w:eastAsia="ru-RU"/>
        </w:rPr>
        <w:t>Прото</w:t>
      </w:r>
      <w:r w:rsidR="00D647FF" w:rsidRPr="00E6042E">
        <w:rPr>
          <w:rFonts w:ascii="Times New Roman" w:eastAsia="Times New Roman" w:hAnsi="Times New Roman" w:cs="Times New Roman"/>
          <w:lang w:val="uk-UA" w:eastAsia="ru-RU"/>
        </w:rPr>
        <w:t>кол №</w:t>
      </w:r>
      <w:r w:rsidR="002320EB" w:rsidRPr="00E6042E">
        <w:rPr>
          <w:rFonts w:ascii="Times New Roman" w:eastAsia="Times New Roman" w:hAnsi="Times New Roman" w:cs="Times New Roman"/>
          <w:lang w:val="uk-UA" w:eastAsia="ru-RU"/>
        </w:rPr>
        <w:t xml:space="preserve"> 1  від  26 серпня</w:t>
      </w:r>
      <w:r w:rsidR="00D647FF" w:rsidRPr="00E6042E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C4024A" w:rsidRPr="00E6042E">
        <w:rPr>
          <w:rFonts w:ascii="Times New Roman" w:eastAsia="Times New Roman" w:hAnsi="Times New Roman" w:cs="Times New Roman"/>
          <w:lang w:val="uk-UA" w:eastAsia="ru-RU"/>
        </w:rPr>
        <w:t xml:space="preserve"> 20</w:t>
      </w:r>
      <w:r w:rsidR="00D647FF" w:rsidRPr="00E6042E">
        <w:rPr>
          <w:rFonts w:ascii="Times New Roman" w:eastAsia="Times New Roman" w:hAnsi="Times New Roman" w:cs="Times New Roman"/>
          <w:lang w:val="uk-UA" w:eastAsia="ru-RU"/>
        </w:rPr>
        <w:t>2</w:t>
      </w:r>
      <w:r w:rsidR="002320EB" w:rsidRPr="00E6042E">
        <w:rPr>
          <w:rFonts w:ascii="Times New Roman" w:eastAsia="Times New Roman" w:hAnsi="Times New Roman" w:cs="Times New Roman"/>
          <w:lang w:val="uk-UA" w:eastAsia="ru-RU"/>
        </w:rPr>
        <w:t>1</w:t>
      </w:r>
      <w:r w:rsidR="00C4024A" w:rsidRPr="00E6042E">
        <w:rPr>
          <w:rFonts w:ascii="Times New Roman" w:eastAsia="Times New Roman" w:hAnsi="Times New Roman" w:cs="Times New Roman"/>
          <w:lang w:val="uk-UA" w:eastAsia="ru-RU"/>
        </w:rPr>
        <w:t>р.</w:t>
      </w:r>
    </w:p>
    <w:p w:rsidR="009048D2" w:rsidRPr="00E6042E" w:rsidRDefault="009048D2" w:rsidP="00475CD8">
      <w:pPr>
        <w:shd w:val="clear" w:color="auto" w:fill="FFFFFF"/>
        <w:spacing w:before="180" w:after="180" w:line="240" w:lineRule="auto"/>
        <w:ind w:left="5664"/>
        <w:contextualSpacing/>
        <w:rPr>
          <w:rFonts w:ascii="Times New Roman" w:eastAsia="Times New Roman" w:hAnsi="Times New Roman" w:cs="Times New Roman"/>
          <w:lang w:val="uk-UA" w:eastAsia="ru-RU"/>
        </w:rPr>
      </w:pPr>
      <w:r w:rsidRPr="00E6042E">
        <w:rPr>
          <w:rFonts w:ascii="Times New Roman" w:eastAsia="Times New Roman" w:hAnsi="Times New Roman" w:cs="Times New Roman"/>
          <w:lang w:val="uk-UA" w:eastAsia="ru-RU"/>
        </w:rPr>
        <w:t xml:space="preserve"> </w:t>
      </w:r>
    </w:p>
    <w:p w:rsidR="00C4024A" w:rsidRPr="00D43025" w:rsidRDefault="00A3463C" w:rsidP="002320EB">
      <w:pPr>
        <w:shd w:val="clear" w:color="auto" w:fill="FFFFFF"/>
        <w:spacing w:before="180" w:after="180" w:line="240" w:lineRule="auto"/>
        <w:ind w:left="5664"/>
        <w:contextualSpacing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              </w:t>
      </w:r>
      <w:r w:rsidR="002320EB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024A" w:rsidRPr="00C4024A" w:rsidRDefault="00C4024A" w:rsidP="00C402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4024A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Положення</w:t>
      </w:r>
      <w:proofErr w:type="spellEnd"/>
    </w:p>
    <w:p w:rsidR="00C4024A" w:rsidRPr="00C4024A" w:rsidRDefault="00C4024A" w:rsidP="00A3463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</w:p>
    <w:p w:rsidR="00475CD8" w:rsidRPr="00C4024A" w:rsidRDefault="00D43025" w:rsidP="00475CD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КЗ «Заклад загальної середньої освіти </w:t>
      </w:r>
      <w:r w:rsidRPr="00B85C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І- ІІІ ступенів 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Дмитрашківка»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024A" w:rsidRPr="00C4024A" w:rsidRDefault="00475CD8" w:rsidP="00C402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4024A" w:rsidRPr="00C4024A" w:rsidRDefault="00C4024A" w:rsidP="00C402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C4024A" w:rsidRPr="00C4024A" w:rsidRDefault="00C4024A" w:rsidP="00475CD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1.1. Положення 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академічну 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доброчесність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</w:t>
      </w:r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КЗ «Заклад загальної середньої освіти </w:t>
      </w:r>
      <w:r w:rsidR="00D43025" w:rsidRPr="00B85C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43025" w:rsidRPr="00B85C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І- ІІІ ступенів с.</w:t>
      </w:r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Дмитрашківка»  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- Положення) закріплює норми та правила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етичної 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поведінки, 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професійного 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 між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педагогічними працівниками </w:t>
      </w:r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КЗ «Заклад загальної середньої освіти </w:t>
      </w:r>
      <w:r w:rsidR="00D43025" w:rsidRPr="00B85C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</w:t>
      </w:r>
      <w:r w:rsidR="00D43025" w:rsidRPr="00B85C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І- ІІІ ступенів с.</w:t>
      </w:r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Дмитрашківка»    </w:t>
      </w:r>
      <w:r w:rsidR="00475C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 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здобувачами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освіти.</w:t>
      </w:r>
    </w:p>
    <w:p w:rsidR="00AE13C8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1.2.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</w:t>
      </w:r>
      <w:proofErr w:type="spellEnd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на </w:t>
      </w:r>
      <w:proofErr w:type="spellStart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="00AE1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E13C8" w:rsidRPr="00AE13C8" w:rsidRDefault="00AE13C8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Проосвіту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 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авторське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право  і 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суміжні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права»,  «Про 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справу», «Про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Кодексу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Статуту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Правил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чинного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A3463C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Мета Положення полягає у дотриманні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високих професійних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стандартів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усіх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сферах діяльності закладу (освітній, науковій, виховній), підтримки особливих взаємовідносин між педагогічними працівниками та здобувачами освіти, запобігання порушенню академічної доброчесності.</w:t>
      </w:r>
    </w:p>
    <w:p w:rsidR="00C4024A" w:rsidRPr="00A3463C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Педагогічні працівники та здобувачі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освіти, усвідомлюючи свою відповідальність за неналежне виконання функціональних обов’язків, формування сприятливого академічного середовища для забезпечення дієвої організації освітнього процесу, розвитку інтелектуального, особистісного потенціалу, підвищення престижу закладу, зобов’язуються виконувати норми даного Положення.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закріплюють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безпосередньо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сферах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(морально-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психологічний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клімат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13C8" w:rsidRPr="00D43025" w:rsidRDefault="00C4024A" w:rsidP="00D4302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поширюється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C4024A" w:rsidRDefault="00C4024A" w:rsidP="00C402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A346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2. Поняття та принципи академічної доброчесності</w:t>
      </w:r>
    </w:p>
    <w:p w:rsidR="00AE13C8" w:rsidRPr="00C4024A" w:rsidRDefault="00AE13C8" w:rsidP="00C402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Академічна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доброчесність — це сукупність етичних принципів та визначених законом правил, якими мають керуватися учасники освітнього процесу під час навчання, викладання та провадження творчої діяльності з метою забезпечення довіри до результатів навчання та/або творчих досягнень.</w:t>
      </w:r>
    </w:p>
    <w:p w:rsid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Для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13C8" w:rsidRPr="00C4024A" w:rsidRDefault="00AE13C8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демократизм;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законність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верховенства права;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</w:t>
      </w:r>
      <w:proofErr w:type="gram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іальна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справедливість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</w:t>
      </w:r>
      <w:proofErr w:type="gram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іоритет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 і свобод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людини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і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громадянина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proofErr w:type="gram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івноправність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гарантування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 і свобод;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прозорість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професіоналізм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компетентність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партнерство і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взаємодопомога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C4024A" w:rsidRDefault="00AE13C8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13C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       </w:t>
      </w:r>
      <w:r w:rsidR="00C4024A"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</w:t>
      </w:r>
      <w:proofErr w:type="spellStart"/>
      <w:r w:rsidR="00C4024A"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повага</w:t>
      </w:r>
      <w:proofErr w:type="spellEnd"/>
      <w:r w:rsidR="00C4024A"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та </w:t>
      </w:r>
      <w:proofErr w:type="spellStart"/>
      <w:r w:rsidR="00C4024A"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взаємна</w:t>
      </w:r>
      <w:proofErr w:type="spellEnd"/>
      <w:r w:rsidR="00C4024A"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довіра</w:t>
      </w:r>
      <w:proofErr w:type="spellEnd"/>
      <w:r w:rsidR="00C4024A"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відкритість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і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прозорість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C4024A" w:rsidRPr="00AE13C8" w:rsidRDefault="00C4024A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відповідальність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AE13C8" w:rsidRPr="00C4024A" w:rsidRDefault="00AE13C8" w:rsidP="00C4024A">
      <w:pPr>
        <w:shd w:val="clear" w:color="auto" w:fill="FFFFFF"/>
        <w:spacing w:before="180" w:after="18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наділений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проголошується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обговоренні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внутрішніх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напрямів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є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неправдивою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викладеною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перекрученням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наклепницькою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ображає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серйозної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особа, яка до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причетна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щоб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спростувати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викривлену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зменшити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Гідним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AE13C8" w:rsidRPr="00C4024A" w:rsidRDefault="00AE13C8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шанобливе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закладу: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прапора,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емблеми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культура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тому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3C8" w:rsidRPr="00C4024A" w:rsidRDefault="00AE13C8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Неприйнятним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є:</w:t>
      </w:r>
      <w:proofErr w:type="gramEnd"/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навмисне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перешкоджання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участь у будь-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обманом,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нечесністю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ідробка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інструкціями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ігійної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паління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токсичного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сп’яніння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пронесення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закладу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балончиків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речей,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зашкодити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’ю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3C8" w:rsidRPr="00C4024A" w:rsidRDefault="00AE13C8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Default="00C4024A" w:rsidP="00C402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учасниками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</w:p>
    <w:p w:rsidR="00AE13C8" w:rsidRPr="00C4024A" w:rsidRDefault="00AE13C8" w:rsidP="00C4024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«Про права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позитивного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іміджу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примноження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спілкування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засадах партнерства,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взаємоповаги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толерантності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стосункі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хабарництву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поліпшення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раціональне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навчально-матеріальної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методики і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об’єктивне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неупереджене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здобуткі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передбача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AE13C8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самостійне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поточного та </w:t>
      </w:r>
      <w:proofErr w:type="spellStart"/>
      <w:proofErr w:type="gram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ідсумкового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дозволених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особливими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освітніми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потребами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вимога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урахуванням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їхніх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 і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можливостей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тверджень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3C8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присутність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уроках,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причинами;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інфраструктурою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економно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призначенням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примноженню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закладу,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престижу  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досягненнями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3C8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24A" w:rsidRPr="00C4024A" w:rsidRDefault="00AE13C8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E1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024A" w:rsidRPr="00C40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академічний плагіат</w:t>
      </w:r>
      <w:r w:rsidR="00C4024A"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оприлюднення (частково або повністю) результатів, </w:t>
      </w:r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24A"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отриманих іншими особами, як результатів власних досліджень </w:t>
      </w:r>
      <w:r w:rsidR="00C4024A"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(творчості) та/або відтворення</w:t>
      </w:r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4024A"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опублікованих текстів (оприлюднених творів мистецтва) інших авторів без зазначення авторства;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фабрикація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вигадування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освітньому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фальсифікація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модифікація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13C8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зокрема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A3463C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C4024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обман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надання завідомо неправдивої інформації щодо власної освітньої (творчої) діяльності та організації освітнього процесу. 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Формами обману є, зокрема академічний плагіат, </w:t>
      </w:r>
      <w:proofErr w:type="spellStart"/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самоплагіат</w:t>
      </w:r>
      <w:proofErr w:type="spellEnd"/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фабрикація, фальсифікація та списування;</w:t>
      </w:r>
    </w:p>
    <w:p w:rsidR="00C4024A" w:rsidRPr="00A3463C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A346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хабарництво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надання (отримання) учасником освітнього процесу чи пропозиція щодо надання (отримання) коштів, майна, послуг чи будь – яких інших благ матеріального або нематеріального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346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характеру з метою отримання неправомірної переваги в освітньому процесі;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</w:t>
      </w:r>
      <w:proofErr w:type="spellStart"/>
      <w:r w:rsidRPr="00C4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необ’єктивне</w:t>
      </w:r>
      <w:proofErr w:type="spellEnd"/>
      <w:r w:rsidRPr="00C4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ідоме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завищення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4024A" w:rsidRDefault="00C4024A" w:rsidP="00AE13C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Види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відповідальності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</w:p>
    <w:p w:rsidR="00AE13C8" w:rsidRPr="00C4024A" w:rsidRDefault="00AE13C8" w:rsidP="00C402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визначають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притягнуті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необ’єктивному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педагогічному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спотворене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публікаціях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чужих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фальсифікація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іджень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неправдива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підставою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позбавленні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винагороду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нематеріального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залежно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розміру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об’єму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ідставою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інстанції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притягнуті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робота,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іспит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залік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AE1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етапі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шкільному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олімпіадах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конкурсах – робота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анулюється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 осві</w:t>
      </w:r>
      <w:proofErr w:type="gramStart"/>
      <w:r w:rsidR="00D43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ти 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олімпіадах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конкурсах.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4A" w:rsidRDefault="00C4024A" w:rsidP="00AE13C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5. Заходи з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попередження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виявлення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встановлення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фактів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</w:p>
    <w:p w:rsidR="00AE13C8" w:rsidRDefault="00AE13C8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роботу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розписку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внутрішнього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доводиться до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батьківської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  Заступник директора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шляхом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публікацій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рецензування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присвоєння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ірки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антиплагіат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умов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з </w:t>
      </w:r>
      <w:r w:rsidR="00D43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здобувачами освіти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неприпустимості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плагіат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13C8" w:rsidRPr="00C4024A" w:rsidRDefault="00AE13C8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Default="00C4024A" w:rsidP="00C402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                     6.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</w:t>
      </w:r>
      <w:proofErr w:type="gram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ія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доброчесності</w:t>
      </w:r>
      <w:proofErr w:type="spellEnd"/>
    </w:p>
    <w:p w:rsidR="00AE13C8" w:rsidRPr="00C4024A" w:rsidRDefault="00AE13C8" w:rsidP="00C4024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 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Склад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морально-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потребою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3C8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6.4 Будь-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ісії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зазначаються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заявника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(П.І.Б.,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адреса, телефон,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посада </w:t>
      </w:r>
      <w:proofErr w:type="spellStart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</w:t>
      </w:r>
      <w:proofErr w:type="spellEnd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особистий</w:t>
      </w:r>
      <w:proofErr w:type="spellEnd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</w:t>
      </w:r>
      <w:proofErr w:type="spellEnd"/>
      <w:r w:rsidR="00AE13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13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E13C8" w:rsidRDefault="00AE13C8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Анонімні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викладені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некоректній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формі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не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розглядаються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6.5  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звітує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свою роботу раз на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ік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висновки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й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надавати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консультації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AE13C8">
      <w:pPr>
        <w:shd w:val="clear" w:color="auto" w:fill="FFFFFF"/>
        <w:spacing w:before="180" w:after="18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24A" w:rsidRDefault="00C4024A" w:rsidP="00AE13C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Заключні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proofErr w:type="spellEnd"/>
    </w:p>
    <w:p w:rsidR="00D43025" w:rsidRPr="00D43025" w:rsidRDefault="00D43025" w:rsidP="00AE13C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нерозуміння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є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виправданням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неетичної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 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тексту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норм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засвідчується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ідписами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ознайомлюються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обов’язковому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КЗ</w:t>
      </w:r>
      <w:proofErr w:type="gramEnd"/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«Заклад загальної середньої освіти </w:t>
      </w:r>
      <w:r w:rsidR="00D43025" w:rsidRPr="00B85C1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І- ІІІ ступенів с.</w:t>
      </w:r>
      <w:r w:rsidR="00D4302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Дмитрашківка»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радою закладу та вводиться в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дію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директора.</w:t>
      </w:r>
    </w:p>
    <w:p w:rsidR="00C4024A" w:rsidRPr="00C4024A" w:rsidRDefault="00C4024A" w:rsidP="00C4024A">
      <w:pPr>
        <w:shd w:val="clear" w:color="auto" w:fill="FFFFFF"/>
        <w:spacing w:before="180" w:after="18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будь-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поданням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24A" w:rsidRPr="00C4024A" w:rsidRDefault="00C4024A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</w:pPr>
      <w:r w:rsidRPr="00C4024A"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  <w:t> </w:t>
      </w:r>
    </w:p>
    <w:p w:rsidR="00C4024A" w:rsidRPr="00C4024A" w:rsidRDefault="00C4024A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</w:pPr>
      <w:r w:rsidRPr="00C4024A">
        <w:rPr>
          <w:rFonts w:ascii="Trebuchet MS" w:eastAsia="Times New Roman" w:hAnsi="Trebuchet MS" w:cs="Times New Roman"/>
          <w:color w:val="555555"/>
          <w:sz w:val="18"/>
          <w:szCs w:val="18"/>
          <w:lang w:eastAsia="ru-RU"/>
        </w:rPr>
        <w:t> </w:t>
      </w:r>
    </w:p>
    <w:p w:rsidR="00174B4F" w:rsidRDefault="00174B4F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174B4F" w:rsidRDefault="00174B4F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174B4F" w:rsidRDefault="00174B4F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174B4F" w:rsidRDefault="00174B4F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174B4F" w:rsidRDefault="00174B4F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174B4F" w:rsidRDefault="00174B4F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174B4F" w:rsidRDefault="00174B4F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174B4F" w:rsidRDefault="00174B4F" w:rsidP="00C4024A">
      <w:pPr>
        <w:shd w:val="clear" w:color="auto" w:fill="FFFFFF"/>
        <w:spacing w:before="180" w:after="180" w:line="198" w:lineRule="atLeast"/>
        <w:jc w:val="center"/>
        <w:rPr>
          <w:rFonts w:ascii="Trebuchet MS" w:eastAsia="Times New Roman" w:hAnsi="Trebuchet MS" w:cs="Times New Roman"/>
          <w:color w:val="555555"/>
          <w:sz w:val="18"/>
          <w:szCs w:val="18"/>
          <w:lang w:val="uk-UA" w:eastAsia="ru-RU"/>
        </w:rPr>
      </w:pPr>
    </w:p>
    <w:p w:rsidR="00A3463C" w:rsidRDefault="00A3463C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63C" w:rsidRDefault="00A3463C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63C" w:rsidRDefault="00A3463C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63C" w:rsidRDefault="00A3463C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63C" w:rsidRDefault="00A3463C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63C" w:rsidRDefault="00A3463C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63C" w:rsidRDefault="00A3463C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463C" w:rsidRDefault="00A3463C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C4024A" w:rsidP="00C4024A">
      <w:pPr>
        <w:shd w:val="clear" w:color="auto" w:fill="FFFFFF"/>
        <w:spacing w:before="180" w:after="18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4024A" w:rsidRDefault="00C4024A" w:rsidP="00C4024A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Використані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джерела</w:t>
      </w:r>
      <w:proofErr w:type="spellEnd"/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74B4F" w:rsidRPr="00C4024A" w:rsidRDefault="00174B4F" w:rsidP="00C4024A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4024A" w:rsidRPr="00C4024A" w:rsidRDefault="00174B4F" w:rsidP="00C4024A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артія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Європейського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Союзу[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ресурс]: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07.12.2000. –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Електронні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текстові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дані</w:t>
      </w:r>
      <w:proofErr w:type="spellEnd"/>
      <w:r w:rsidR="00C4024A"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 доступу: http://zakon2.rada.gov.ua/laws/show/994_524</w:t>
      </w:r>
    </w:p>
    <w:p w:rsidR="00C4024A" w:rsidRPr="00C4024A" w:rsidRDefault="00C4024A" w:rsidP="00C4024A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Цивільний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ресурс]: Кодекс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16.01.2003 № </w:t>
      </w:r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435-IV 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74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Режим доступу: http://zakon0.rada.gov.ua/laws/show/435-15</w:t>
      </w:r>
    </w:p>
    <w:p w:rsidR="00C4024A" w:rsidRPr="00C4024A" w:rsidRDefault="00C4024A" w:rsidP="00C4024A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Закон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авторське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суміжні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права» [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ресурс]:</w:t>
      </w:r>
      <w:r w:rsidR="00174B4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23.12.1993 № 3792-XII з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наступними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доповненнями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–Р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доступу: http://zakon3.rada.gov.ua/laws/show/3792-12</w:t>
      </w:r>
    </w:p>
    <w:p w:rsidR="00C4024A" w:rsidRPr="00C4024A" w:rsidRDefault="00C4024A" w:rsidP="00C4024A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Кодекс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університету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Київський</w:t>
      </w:r>
      <w:proofErr w:type="spellEnd"/>
    </w:p>
    <w:p w:rsidR="00C4024A" w:rsidRPr="00C4024A" w:rsidRDefault="00C4024A" w:rsidP="00C4024A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інститут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 [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ресурс]. – Режим доступу: http://kpi.ua/code</w:t>
      </w:r>
    </w:p>
    <w:p w:rsidR="00C4024A" w:rsidRPr="00C4024A" w:rsidRDefault="00C4024A" w:rsidP="00C4024A">
      <w:pPr>
        <w:shd w:val="clear" w:color="auto" w:fill="FFFFFF"/>
        <w:spacing w:after="0" w:line="19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Закон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05.09.</w:t>
      </w:r>
      <w:r w:rsidRPr="00C40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2017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2145-VIII. (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Набрання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чинності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28.09.2017) Режим доступу: https://www.pedrada.com.ua/.../1484-znayomtesya-zakon-u...</w:t>
      </w:r>
    </w:p>
    <w:p w:rsidR="00D647FF" w:rsidRPr="00D647FF" w:rsidRDefault="00C4024A" w:rsidP="00626DD4">
      <w:pPr>
        <w:shd w:val="clear" w:color="auto" w:fill="FFFFFF"/>
        <w:spacing w:after="0" w:line="198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академічну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«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Загальноосвітня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І-ІІІ ст. № 11</w:t>
      </w:r>
      <w:proofErr w:type="gram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інницької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ради» [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Електронний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ресурс]: Режим доступу: https://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sch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vn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40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zy</w:t>
      </w:r>
      <w:proofErr w:type="spellEnd"/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C402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C402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647FF" w:rsidRPr="00D647FF" w:rsidSect="00A3463C">
      <w:footerReference w:type="default" r:id="rId7"/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C9" w:rsidRDefault="000570C9" w:rsidP="00A3463C">
      <w:pPr>
        <w:spacing w:after="0" w:line="240" w:lineRule="auto"/>
      </w:pPr>
      <w:r>
        <w:separator/>
      </w:r>
    </w:p>
  </w:endnote>
  <w:endnote w:type="continuationSeparator" w:id="0">
    <w:p w:rsidR="000570C9" w:rsidRDefault="000570C9" w:rsidP="00A3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0191123"/>
      <w:docPartObj>
        <w:docPartGallery w:val="Page Numbers (Bottom of Page)"/>
        <w:docPartUnique/>
      </w:docPartObj>
    </w:sdtPr>
    <w:sdtEndPr/>
    <w:sdtContent>
      <w:p w:rsidR="00A3463C" w:rsidRDefault="00A346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42E">
          <w:rPr>
            <w:noProof/>
          </w:rPr>
          <w:t>1</w:t>
        </w:r>
        <w:r>
          <w:fldChar w:fldCharType="end"/>
        </w:r>
      </w:p>
    </w:sdtContent>
  </w:sdt>
  <w:p w:rsidR="00A3463C" w:rsidRDefault="00A346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C9" w:rsidRDefault="000570C9" w:rsidP="00A3463C">
      <w:pPr>
        <w:spacing w:after="0" w:line="240" w:lineRule="auto"/>
      </w:pPr>
      <w:r>
        <w:separator/>
      </w:r>
    </w:p>
  </w:footnote>
  <w:footnote w:type="continuationSeparator" w:id="0">
    <w:p w:rsidR="000570C9" w:rsidRDefault="000570C9" w:rsidP="00A34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4A"/>
    <w:rsid w:val="000507AA"/>
    <w:rsid w:val="000570C9"/>
    <w:rsid w:val="00174B4F"/>
    <w:rsid w:val="002320EB"/>
    <w:rsid w:val="00272ACC"/>
    <w:rsid w:val="002B6DBF"/>
    <w:rsid w:val="0042125F"/>
    <w:rsid w:val="00475CD8"/>
    <w:rsid w:val="0060166A"/>
    <w:rsid w:val="00626DD4"/>
    <w:rsid w:val="006F7A79"/>
    <w:rsid w:val="00791D1A"/>
    <w:rsid w:val="00880209"/>
    <w:rsid w:val="009048D2"/>
    <w:rsid w:val="00A3463C"/>
    <w:rsid w:val="00AE13C8"/>
    <w:rsid w:val="00AF2291"/>
    <w:rsid w:val="00B86D50"/>
    <w:rsid w:val="00C0715D"/>
    <w:rsid w:val="00C4024A"/>
    <w:rsid w:val="00D43025"/>
    <w:rsid w:val="00D647FF"/>
    <w:rsid w:val="00E25B9B"/>
    <w:rsid w:val="00E6042E"/>
    <w:rsid w:val="00E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7FF"/>
    <w:rPr>
      <w:b/>
      <w:bCs/>
    </w:rPr>
  </w:style>
  <w:style w:type="character" w:customStyle="1" w:styleId="apple-tab-span">
    <w:name w:val="apple-tab-span"/>
    <w:basedOn w:val="a0"/>
    <w:rsid w:val="00EB0DA7"/>
  </w:style>
  <w:style w:type="paragraph" w:styleId="a5">
    <w:name w:val="header"/>
    <w:basedOn w:val="a"/>
    <w:link w:val="a6"/>
    <w:uiPriority w:val="99"/>
    <w:unhideWhenUsed/>
    <w:rsid w:val="00A3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63C"/>
  </w:style>
  <w:style w:type="paragraph" w:styleId="a7">
    <w:name w:val="footer"/>
    <w:basedOn w:val="a"/>
    <w:link w:val="a8"/>
    <w:uiPriority w:val="99"/>
    <w:unhideWhenUsed/>
    <w:rsid w:val="00A3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63C"/>
  </w:style>
  <w:style w:type="paragraph" w:styleId="a9">
    <w:name w:val="Balloon Text"/>
    <w:basedOn w:val="a"/>
    <w:link w:val="aa"/>
    <w:uiPriority w:val="99"/>
    <w:semiHidden/>
    <w:unhideWhenUsed/>
    <w:rsid w:val="0090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47FF"/>
    <w:rPr>
      <w:b/>
      <w:bCs/>
    </w:rPr>
  </w:style>
  <w:style w:type="character" w:customStyle="1" w:styleId="apple-tab-span">
    <w:name w:val="apple-tab-span"/>
    <w:basedOn w:val="a0"/>
    <w:rsid w:val="00EB0DA7"/>
  </w:style>
  <w:style w:type="paragraph" w:styleId="a5">
    <w:name w:val="header"/>
    <w:basedOn w:val="a"/>
    <w:link w:val="a6"/>
    <w:uiPriority w:val="99"/>
    <w:unhideWhenUsed/>
    <w:rsid w:val="00A3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463C"/>
  </w:style>
  <w:style w:type="paragraph" w:styleId="a7">
    <w:name w:val="footer"/>
    <w:basedOn w:val="a"/>
    <w:link w:val="a8"/>
    <w:uiPriority w:val="99"/>
    <w:unhideWhenUsed/>
    <w:rsid w:val="00A34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463C"/>
  </w:style>
  <w:style w:type="paragraph" w:styleId="a9">
    <w:name w:val="Balloon Text"/>
    <w:basedOn w:val="a"/>
    <w:link w:val="aa"/>
    <w:uiPriority w:val="99"/>
    <w:semiHidden/>
    <w:unhideWhenUsed/>
    <w:rsid w:val="0090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4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2021-01-27T11:10:00Z</cp:lastPrinted>
  <dcterms:created xsi:type="dcterms:W3CDTF">2021-09-16T09:59:00Z</dcterms:created>
  <dcterms:modified xsi:type="dcterms:W3CDTF">2021-09-17T07:16:00Z</dcterms:modified>
</cp:coreProperties>
</file>